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773" w:rsidRDefault="00780773" w:rsidP="00780773">
      <w:pPr>
        <w:shd w:val="clear" w:color="auto" w:fill="FFFFFF"/>
        <w:spacing w:line="240" w:lineRule="auto"/>
        <w:jc w:val="center"/>
        <w:rPr>
          <w:rFonts w:ascii="Segoe UI" w:eastAsia="Times New Roman" w:hAnsi="Segoe UI" w:cs="Segoe UI"/>
          <w:sz w:val="20"/>
          <w:szCs w:val="20"/>
        </w:rPr>
      </w:pPr>
      <w:bookmarkStart w:id="0" w:name="_GoBack"/>
      <w:bookmarkEnd w:id="0"/>
      <w:r w:rsidRPr="00B67860">
        <w:rPr>
          <w:rFonts w:eastAsia="Times New Roman"/>
          <w:noProof/>
          <w:color w:val="0000FF"/>
          <w:szCs w:val="24"/>
        </w:rPr>
        <w:drawing>
          <wp:inline distT="0" distB="0" distL="0" distR="0" wp14:anchorId="0FBCDAC3" wp14:editId="5B21305F">
            <wp:extent cx="3019425" cy="744220"/>
            <wp:effectExtent l="0" t="0" r="9525" b="0"/>
            <wp:docPr id="1" name="Picture 1" descr="C:\Users\kendallh\AppData\Local\Microsoft\Windows\Temporary Internet Files\Content.Outlook\9IPWO90L\2nd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endallh\AppData\Local\Microsoft\Windows\Temporary Internet Files\Content.Outlook\9IPWO90L\2nd Logo Bl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744220"/>
                    </a:xfrm>
                    <a:prstGeom prst="rect">
                      <a:avLst/>
                    </a:prstGeom>
                    <a:noFill/>
                    <a:ln>
                      <a:noFill/>
                    </a:ln>
                  </pic:spPr>
                </pic:pic>
              </a:graphicData>
            </a:graphic>
          </wp:inline>
        </w:drawing>
      </w:r>
      <w:r w:rsidR="00D14CD7" w:rsidRPr="00F3676E">
        <w:rPr>
          <w:rFonts w:ascii="Segoe UI" w:eastAsia="Times New Roman" w:hAnsi="Segoe UI" w:cs="Segoe UI"/>
          <w:sz w:val="20"/>
          <w:szCs w:val="20"/>
        </w:rPr>
        <w:t>T</w:t>
      </w:r>
    </w:p>
    <w:p w:rsidR="00780773" w:rsidRDefault="00780773" w:rsidP="00D14CD7">
      <w:pPr>
        <w:shd w:val="clear" w:color="auto" w:fill="FFFFFF"/>
        <w:spacing w:line="240" w:lineRule="auto"/>
        <w:jc w:val="both"/>
        <w:rPr>
          <w:rFonts w:ascii="Segoe UI" w:eastAsia="Times New Roman" w:hAnsi="Segoe UI" w:cs="Segoe UI"/>
          <w:sz w:val="20"/>
          <w:szCs w:val="20"/>
        </w:rPr>
      </w:pPr>
    </w:p>
    <w:p w:rsidR="00D14CD7" w:rsidRPr="00BE1E51" w:rsidRDefault="00780773" w:rsidP="00D14CD7">
      <w:pPr>
        <w:shd w:val="clear" w:color="auto" w:fill="FFFFFF"/>
        <w:spacing w:line="240" w:lineRule="auto"/>
        <w:jc w:val="both"/>
        <w:rPr>
          <w:rFonts w:ascii="Segoe UI" w:eastAsia="Times New Roman" w:hAnsi="Segoe UI" w:cs="Segoe UI"/>
          <w:sz w:val="20"/>
          <w:szCs w:val="20"/>
        </w:rPr>
      </w:pPr>
      <w:r w:rsidRPr="00BE1E51">
        <w:rPr>
          <w:rFonts w:ascii="Segoe UI" w:eastAsia="Times New Roman" w:hAnsi="Segoe UI" w:cs="Segoe UI"/>
          <w:sz w:val="20"/>
          <w:szCs w:val="20"/>
        </w:rPr>
        <w:t>T</w:t>
      </w:r>
      <w:r w:rsidR="00D14CD7" w:rsidRPr="00BE1E51">
        <w:rPr>
          <w:rFonts w:ascii="Segoe UI" w:eastAsia="Times New Roman" w:hAnsi="Segoe UI" w:cs="Segoe UI"/>
          <w:sz w:val="20"/>
          <w:szCs w:val="20"/>
        </w:rPr>
        <w:t xml:space="preserve">he Minnesota Judicial Council, the policymaking body of the Minnesota Judicial Branch, held an emergency meeting on Friday, March 13, 2020 to discuss </w:t>
      </w:r>
      <w:hyperlink r:id="rId8" w:history="1">
        <w:r w:rsidR="00D14CD7" w:rsidRPr="00BE1E51">
          <w:rPr>
            <w:rFonts w:ascii="Segoe UI" w:eastAsia="Times New Roman" w:hAnsi="Segoe UI" w:cs="Segoe UI"/>
            <w:b/>
            <w:bCs/>
            <w:color w:val="9F6D10"/>
            <w:sz w:val="20"/>
            <w:szCs w:val="20"/>
          </w:rPr>
          <w:t>Emergency Executive Order 20-01</w:t>
        </w:r>
      </w:hyperlink>
      <w:r w:rsidR="00D14CD7" w:rsidRPr="00BE1E51">
        <w:rPr>
          <w:rFonts w:ascii="Segoe UI" w:eastAsia="Times New Roman" w:hAnsi="Segoe UI" w:cs="Segoe UI"/>
          <w:sz w:val="20"/>
          <w:szCs w:val="20"/>
        </w:rPr>
        <w:t>; Declaring a Peacetime Emergency and Coordinating Minnesota's Strategy to Protect Minnesotans from COVID-19. Following that meeting, Chief Justice Lorie S. Gildea issued a</w:t>
      </w:r>
      <w:r w:rsidR="00D14CD7" w:rsidRPr="00BE1E51">
        <w:rPr>
          <w:rFonts w:ascii="Segoe UI" w:eastAsia="Times New Roman" w:hAnsi="Segoe UI" w:cs="Segoe UI"/>
          <w:color w:val="4C4C4C"/>
          <w:sz w:val="20"/>
          <w:szCs w:val="20"/>
        </w:rPr>
        <w:t xml:space="preserve"> </w:t>
      </w:r>
      <w:hyperlink r:id="rId9" w:tgtFrame="_blank" w:history="1">
        <w:r w:rsidR="00D14CD7" w:rsidRPr="00BE1E51">
          <w:rPr>
            <w:rFonts w:ascii="Segoe UI" w:eastAsia="Times New Roman" w:hAnsi="Segoe UI" w:cs="Segoe UI"/>
            <w:b/>
            <w:bCs/>
            <w:color w:val="9F6D10"/>
            <w:sz w:val="20"/>
            <w:szCs w:val="20"/>
          </w:rPr>
          <w:t>statewide order</w:t>
        </w:r>
      </w:hyperlink>
      <w:r w:rsidR="00D14CD7" w:rsidRPr="00BE1E51">
        <w:rPr>
          <w:rFonts w:ascii="Segoe UI" w:eastAsia="Times New Roman" w:hAnsi="Segoe UI" w:cs="Segoe UI"/>
          <w:color w:val="4C4C4C"/>
          <w:sz w:val="20"/>
          <w:szCs w:val="20"/>
        </w:rPr>
        <w:t xml:space="preserve">, </w:t>
      </w:r>
      <w:r w:rsidR="00D14CD7" w:rsidRPr="00BE1E51">
        <w:rPr>
          <w:rFonts w:ascii="Segoe UI" w:eastAsia="Times New Roman" w:hAnsi="Segoe UI" w:cs="Segoe UI"/>
          <w:sz w:val="20"/>
          <w:szCs w:val="20"/>
        </w:rPr>
        <w:t xml:space="preserve">effective Monday, March 16, 2020, for all Minnesota courts. </w:t>
      </w:r>
    </w:p>
    <w:p w:rsidR="00D14CD7" w:rsidRPr="00BE1E51" w:rsidRDefault="00D14CD7" w:rsidP="00D14CD7">
      <w:pPr>
        <w:shd w:val="clear" w:color="auto" w:fill="FFFFFF"/>
        <w:spacing w:line="240" w:lineRule="auto"/>
        <w:jc w:val="both"/>
        <w:rPr>
          <w:rFonts w:ascii="Segoe UI" w:eastAsia="Times New Roman" w:hAnsi="Segoe UI" w:cs="Segoe UI"/>
          <w:color w:val="4C4C4C"/>
          <w:sz w:val="20"/>
          <w:szCs w:val="20"/>
        </w:rPr>
      </w:pPr>
    </w:p>
    <w:p w:rsidR="00D14CD7" w:rsidRPr="00BE1E51" w:rsidRDefault="00D14CD7" w:rsidP="00D14CD7">
      <w:pPr>
        <w:spacing w:line="240" w:lineRule="auto"/>
        <w:jc w:val="both"/>
        <w:rPr>
          <w:rFonts w:ascii="Segoe UI" w:hAnsi="Segoe UI" w:cs="Segoe UI"/>
          <w:sz w:val="20"/>
          <w:szCs w:val="20"/>
        </w:rPr>
      </w:pPr>
      <w:r w:rsidRPr="00BE1E51">
        <w:rPr>
          <w:rFonts w:ascii="Segoe UI" w:hAnsi="Segoe UI" w:cs="Segoe UI"/>
          <w:sz w:val="20"/>
          <w:szCs w:val="20"/>
        </w:rPr>
        <w:t xml:space="preserve">On March 20, 2020, in light of the continuing state of emergency and in an effort to further limit gatherings in public locations, the Minnesota Supreme Court issued </w:t>
      </w:r>
      <w:hyperlink r:id="rId10" w:history="1">
        <w:r w:rsidRPr="00BE1E51">
          <w:rPr>
            <w:rStyle w:val="Hyperlink"/>
            <w:rFonts w:ascii="Segoe UI" w:hAnsi="Segoe UI" w:cs="Segoe UI"/>
            <w:sz w:val="20"/>
            <w:szCs w:val="20"/>
          </w:rPr>
          <w:t xml:space="preserve">Administrative Order ADM20-8001  </w:t>
        </w:r>
      </w:hyperlink>
      <w:r w:rsidRPr="00BE1E51">
        <w:rPr>
          <w:rFonts w:ascii="Segoe UI" w:hAnsi="Segoe UI" w:cs="Segoe UI"/>
          <w:sz w:val="20"/>
          <w:szCs w:val="20"/>
        </w:rPr>
        <w:t>providing that only certain hearing types may occur in the courtroom and for those hearings access to all court facilities shall be limited to only court staff and judicial officers, and participants whose presence is required for scheduled court proceedings.  Case participants may include parties, attorneys, and individuals who are required to be present for the proceeding at direction of the presiding judge.  The order goes into effect on Monday, March 23, 2020, and is in effect for the next 30 days or until another order is issued, whichever comes first.</w:t>
      </w:r>
    </w:p>
    <w:p w:rsidR="00D14CD7" w:rsidRPr="00BE1E51" w:rsidRDefault="00D14CD7" w:rsidP="00D14CD7">
      <w:pPr>
        <w:shd w:val="clear" w:color="auto" w:fill="FFFFFF"/>
        <w:spacing w:line="240" w:lineRule="auto"/>
        <w:rPr>
          <w:rFonts w:ascii="Segoe UI" w:hAnsi="Segoe UI" w:cs="Segoe UI"/>
          <w:sz w:val="20"/>
          <w:szCs w:val="20"/>
        </w:rPr>
      </w:pPr>
    </w:p>
    <w:p w:rsidR="00D14CD7" w:rsidRPr="00BE1E51" w:rsidRDefault="00D14CD7" w:rsidP="00D14CD7">
      <w:pPr>
        <w:spacing w:line="240" w:lineRule="auto"/>
        <w:jc w:val="both"/>
        <w:rPr>
          <w:rFonts w:ascii="Segoe UI" w:hAnsi="Segoe UI" w:cs="Segoe UI"/>
          <w:sz w:val="20"/>
          <w:szCs w:val="20"/>
        </w:rPr>
      </w:pPr>
      <w:r w:rsidRPr="00BE1E51">
        <w:rPr>
          <w:rFonts w:ascii="Segoe UI" w:eastAsia="Times New Roman" w:hAnsi="Segoe UI" w:cs="Segoe UI"/>
          <w:sz w:val="20"/>
          <w:szCs w:val="20"/>
        </w:rPr>
        <w:t xml:space="preserve">To implement the Order issued by Chief Justice Gildea, the Second Judicial District has developed </w:t>
      </w:r>
      <w:r w:rsidRPr="00BE1E51">
        <w:rPr>
          <w:rFonts w:ascii="Segoe UI" w:eastAsia="Times New Roman" w:hAnsi="Segoe UI" w:cs="Segoe UI"/>
          <w:sz w:val="20"/>
          <w:szCs w:val="20"/>
          <w:u w:val="single"/>
        </w:rPr>
        <w:t>updated</w:t>
      </w:r>
      <w:r w:rsidRPr="00BE1E51">
        <w:rPr>
          <w:rFonts w:ascii="Segoe UI" w:eastAsia="Times New Roman" w:hAnsi="Segoe UI" w:cs="Segoe UI"/>
          <w:sz w:val="20"/>
          <w:szCs w:val="20"/>
        </w:rPr>
        <w:t xml:space="preserve"> case handling protocols by Division.  </w:t>
      </w:r>
      <w:r w:rsidRPr="00BE1E51">
        <w:rPr>
          <w:rFonts w:ascii="Segoe UI" w:hAnsi="Segoe UI" w:cs="Segoe UI"/>
          <w:sz w:val="20"/>
          <w:szCs w:val="20"/>
        </w:rPr>
        <w:t xml:space="preserve">Please note that the information contained in this document is specific to the Second Judicial District. </w:t>
      </w:r>
    </w:p>
    <w:p w:rsidR="00D14CD7" w:rsidRPr="00BE1E51" w:rsidRDefault="00D14CD7" w:rsidP="00D14CD7">
      <w:pPr>
        <w:spacing w:line="240" w:lineRule="auto"/>
        <w:jc w:val="both"/>
        <w:rPr>
          <w:rFonts w:ascii="Segoe UI" w:hAnsi="Segoe UI" w:cs="Segoe UI"/>
          <w:sz w:val="20"/>
          <w:szCs w:val="20"/>
        </w:rPr>
      </w:pPr>
    </w:p>
    <w:p w:rsidR="00D14CD7" w:rsidRPr="00BE1E51" w:rsidRDefault="00D14CD7" w:rsidP="00D14CD7">
      <w:pPr>
        <w:spacing w:line="240" w:lineRule="auto"/>
        <w:jc w:val="both"/>
        <w:rPr>
          <w:rFonts w:ascii="Segoe UI" w:hAnsi="Segoe UI" w:cs="Segoe UI"/>
          <w:sz w:val="20"/>
          <w:szCs w:val="20"/>
        </w:rPr>
      </w:pPr>
      <w:r w:rsidRPr="00BE1E51">
        <w:rPr>
          <w:rFonts w:ascii="Segoe UI" w:hAnsi="Segoe UI" w:cs="Segoe UI"/>
          <w:b/>
          <w:sz w:val="20"/>
          <w:szCs w:val="20"/>
          <w:u w:val="single"/>
        </w:rPr>
        <w:t>Building Access</w:t>
      </w:r>
      <w:r w:rsidRPr="00BE1E51">
        <w:rPr>
          <w:rFonts w:ascii="Segoe UI" w:hAnsi="Segoe UI" w:cs="Segoe UI"/>
          <w:sz w:val="20"/>
          <w:szCs w:val="20"/>
        </w:rPr>
        <w:t xml:space="preserve">: </w:t>
      </w:r>
    </w:p>
    <w:p w:rsidR="00D14CD7" w:rsidRPr="00BE1E51" w:rsidRDefault="00D14CD7" w:rsidP="00D14CD7">
      <w:pPr>
        <w:spacing w:line="240" w:lineRule="auto"/>
        <w:jc w:val="both"/>
        <w:rPr>
          <w:rFonts w:ascii="Segoe UI" w:hAnsi="Segoe UI" w:cs="Segoe UI"/>
          <w:sz w:val="20"/>
          <w:szCs w:val="20"/>
        </w:rPr>
      </w:pPr>
      <w:r w:rsidRPr="00BE1E51">
        <w:rPr>
          <w:rFonts w:ascii="Segoe UI" w:hAnsi="Segoe UI" w:cs="Segoe UI"/>
          <w:sz w:val="20"/>
          <w:szCs w:val="20"/>
        </w:rPr>
        <w:t xml:space="preserve">     For information regarding Second Judicial District courthouse building access, please review the attached </w:t>
      </w:r>
    </w:p>
    <w:p w:rsidR="00D14CD7" w:rsidRPr="00BE1E51" w:rsidRDefault="00D14CD7" w:rsidP="00D14CD7">
      <w:pPr>
        <w:spacing w:line="240" w:lineRule="auto"/>
        <w:jc w:val="both"/>
        <w:rPr>
          <w:rFonts w:ascii="Segoe UI" w:hAnsi="Segoe UI" w:cs="Segoe UI"/>
          <w:sz w:val="18"/>
          <w:szCs w:val="18"/>
        </w:rPr>
      </w:pPr>
      <w:r w:rsidRPr="00BE1E51">
        <w:rPr>
          <w:rFonts w:ascii="Segoe UI" w:hAnsi="Segoe UI" w:cs="Segoe UI"/>
          <w:sz w:val="20"/>
          <w:szCs w:val="20"/>
        </w:rPr>
        <w:t xml:space="preserve">     Administrative Order issued by Chief Judge John H. Guthmann on March 21, 2020.</w:t>
      </w:r>
      <w:r w:rsidRPr="00BE1E51">
        <w:rPr>
          <w:rFonts w:ascii="Segoe UI" w:hAnsi="Segoe UI" w:cs="Segoe UI"/>
          <w:sz w:val="18"/>
          <w:szCs w:val="18"/>
        </w:rPr>
        <w:t xml:space="preserve"> </w:t>
      </w:r>
    </w:p>
    <w:p w:rsidR="00D14CD7" w:rsidRPr="00BE1E51" w:rsidRDefault="00D14CD7" w:rsidP="00D14CD7">
      <w:pPr>
        <w:spacing w:line="240" w:lineRule="auto"/>
        <w:jc w:val="both"/>
        <w:rPr>
          <w:rFonts w:ascii="Segoe UI" w:hAnsi="Segoe UI" w:cs="Segoe UI"/>
          <w:color w:val="4C4C4C"/>
          <w:sz w:val="18"/>
          <w:szCs w:val="18"/>
        </w:rPr>
      </w:pPr>
    </w:p>
    <w:p w:rsidR="00D14CD7" w:rsidRPr="00BE1E51" w:rsidRDefault="003E5AC0" w:rsidP="00D14CD7">
      <w:pPr>
        <w:shd w:val="clear" w:color="auto" w:fill="FFFFFF"/>
        <w:spacing w:line="240" w:lineRule="auto"/>
        <w:rPr>
          <w:rFonts w:ascii="Segoe UI" w:hAnsi="Segoe UI" w:cs="Segoe UI"/>
          <w:color w:val="4C4C4C"/>
          <w:sz w:val="18"/>
          <w:szCs w:val="18"/>
        </w:rPr>
      </w:pPr>
      <w:r w:rsidRPr="00BE1E51">
        <w:rPr>
          <w:rFonts w:ascii="Segoe UI" w:hAnsi="Segoe UI" w:cs="Segoe UI"/>
          <w:color w:val="4C4C4C"/>
          <w:sz w:val="18"/>
          <w:szCs w:val="18"/>
        </w:rPr>
        <w:tab/>
      </w:r>
      <w:r w:rsidRPr="00BE1E51">
        <w:rPr>
          <w:rFonts w:ascii="Segoe UI" w:hAnsi="Segoe UI" w:cs="Segoe UI"/>
          <w:color w:val="4C4C4C"/>
          <w:sz w:val="18"/>
          <w:szCs w:val="18"/>
        </w:rPr>
        <w:object w:dxaOrig="1533" w:dyaOrig="992" w14:anchorId="23499B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11" o:title=""/>
          </v:shape>
          <o:OLEObject Type="Embed" ProgID="AcroExch.Document.DC" ShapeID="_x0000_i1025" DrawAspect="Icon" ObjectID="_1646571918" r:id="rId12"/>
        </w:object>
      </w:r>
    </w:p>
    <w:p w:rsidR="003E5AC0" w:rsidRPr="00BE1E51" w:rsidRDefault="003E5AC0" w:rsidP="00D14CD7">
      <w:pPr>
        <w:shd w:val="clear" w:color="auto" w:fill="FFFFFF"/>
        <w:spacing w:line="240" w:lineRule="auto"/>
        <w:rPr>
          <w:rFonts w:ascii="Segoe UI" w:hAnsi="Segoe UI" w:cs="Segoe UI"/>
          <w:b/>
          <w:sz w:val="18"/>
          <w:szCs w:val="18"/>
          <w:u w:val="single"/>
        </w:rPr>
      </w:pPr>
    </w:p>
    <w:p w:rsidR="00D14CD7" w:rsidRPr="00BE1E51" w:rsidRDefault="00D14CD7" w:rsidP="00D14CD7">
      <w:pPr>
        <w:shd w:val="clear" w:color="auto" w:fill="FFFFFF"/>
        <w:spacing w:line="240" w:lineRule="auto"/>
        <w:rPr>
          <w:rFonts w:ascii="Segoe UI" w:hAnsi="Segoe UI" w:cs="Segoe UI"/>
          <w:sz w:val="20"/>
          <w:szCs w:val="20"/>
        </w:rPr>
      </w:pPr>
      <w:r w:rsidRPr="00BE1E51">
        <w:rPr>
          <w:rFonts w:ascii="Segoe UI" w:hAnsi="Segoe UI" w:cs="Segoe UI"/>
          <w:b/>
          <w:sz w:val="20"/>
          <w:szCs w:val="20"/>
          <w:u w:val="single"/>
        </w:rPr>
        <w:t>Jury Trials (All Lines of Business)</w:t>
      </w:r>
      <w:r w:rsidRPr="00BE1E51">
        <w:rPr>
          <w:rFonts w:ascii="Segoe UI" w:hAnsi="Segoe UI" w:cs="Segoe UI"/>
          <w:sz w:val="20"/>
          <w:szCs w:val="20"/>
        </w:rPr>
        <w:t xml:space="preserve">: </w:t>
      </w:r>
    </w:p>
    <w:p w:rsidR="00D14CD7" w:rsidRPr="00BE1E51" w:rsidRDefault="00D14CD7" w:rsidP="00D14CD7">
      <w:pPr>
        <w:shd w:val="clear" w:color="auto" w:fill="FFFFFF"/>
        <w:spacing w:line="240" w:lineRule="auto"/>
        <w:rPr>
          <w:rFonts w:ascii="Segoe UI" w:hAnsi="Segoe UI" w:cs="Segoe UI"/>
          <w:sz w:val="20"/>
          <w:szCs w:val="20"/>
        </w:rPr>
      </w:pPr>
      <w:r w:rsidRPr="00BE1E51">
        <w:rPr>
          <w:rFonts w:ascii="Segoe UI" w:hAnsi="Segoe UI" w:cs="Segoe UI"/>
          <w:sz w:val="20"/>
          <w:szCs w:val="20"/>
        </w:rPr>
        <w:t xml:space="preserve">      Other than juries that are on-going, no new jury trials shall commence before April 22, 2020. </w:t>
      </w:r>
    </w:p>
    <w:p w:rsidR="00D14CD7" w:rsidRPr="00BE1E51" w:rsidRDefault="00D14CD7" w:rsidP="00D14CD7">
      <w:pPr>
        <w:spacing w:line="240" w:lineRule="auto"/>
        <w:jc w:val="both"/>
        <w:rPr>
          <w:rFonts w:ascii="Segoe UI" w:hAnsi="Segoe UI" w:cs="Segoe UI"/>
          <w:sz w:val="20"/>
          <w:szCs w:val="20"/>
        </w:rPr>
      </w:pPr>
    </w:p>
    <w:p w:rsidR="00B41F8E" w:rsidRPr="00BE1E51" w:rsidRDefault="00B41F8E" w:rsidP="00B41F8E">
      <w:pPr>
        <w:spacing w:line="240" w:lineRule="auto"/>
        <w:jc w:val="both"/>
        <w:rPr>
          <w:rFonts w:ascii="Segoe UI" w:hAnsi="Segoe UI" w:cs="Segoe UI"/>
          <w:bCs/>
          <w:sz w:val="20"/>
          <w:szCs w:val="20"/>
        </w:rPr>
      </w:pPr>
      <w:r w:rsidRPr="00BE1E51">
        <w:rPr>
          <w:rFonts w:ascii="Segoe UI" w:hAnsi="Segoe UI" w:cs="Segoe UI"/>
          <w:b/>
          <w:sz w:val="20"/>
          <w:szCs w:val="20"/>
          <w:u w:val="single"/>
        </w:rPr>
        <w:t xml:space="preserve">Civil: </w:t>
      </w:r>
    </w:p>
    <w:p w:rsidR="00B41F8E" w:rsidRPr="00BE1E51" w:rsidRDefault="00B41F8E" w:rsidP="0097432A">
      <w:pPr>
        <w:spacing w:line="240" w:lineRule="auto"/>
        <w:ind w:left="288"/>
        <w:jc w:val="both"/>
        <w:rPr>
          <w:rFonts w:ascii="Segoe UI" w:hAnsi="Segoe UI" w:cs="Segoe UI"/>
          <w:w w:val="105"/>
          <w:sz w:val="20"/>
          <w:szCs w:val="20"/>
        </w:rPr>
      </w:pPr>
      <w:r w:rsidRPr="00BE1E51">
        <w:rPr>
          <w:rFonts w:ascii="Segoe UI" w:hAnsi="Segoe UI" w:cs="Segoe UI"/>
          <w:bCs/>
          <w:sz w:val="20"/>
          <w:szCs w:val="20"/>
        </w:rPr>
        <w:t>Per A</w:t>
      </w:r>
      <w:r w:rsidRPr="00BE1E51">
        <w:rPr>
          <w:rFonts w:ascii="Segoe UI" w:hAnsi="Segoe UI" w:cs="Segoe UI"/>
          <w:sz w:val="20"/>
          <w:szCs w:val="20"/>
        </w:rPr>
        <w:t xml:space="preserve">dministrative Order </w:t>
      </w:r>
      <w:r w:rsidRPr="00BE1E51">
        <w:rPr>
          <w:rFonts w:ascii="Segoe UI" w:hAnsi="Segoe UI" w:cs="Segoe UI"/>
          <w:color w:val="010101"/>
          <w:w w:val="105"/>
          <w:sz w:val="20"/>
          <w:szCs w:val="20"/>
        </w:rPr>
        <w:t xml:space="preserve">ADM20-8001, effective </w:t>
      </w:r>
      <w:r w:rsidRPr="00BE1E51">
        <w:rPr>
          <w:rFonts w:ascii="Segoe UI" w:hAnsi="Segoe UI" w:cs="Segoe UI"/>
          <w:w w:val="105"/>
          <w:sz w:val="20"/>
          <w:szCs w:val="20"/>
        </w:rPr>
        <w:t xml:space="preserve">March 23, 2020, in person hearings are authorized through April 22, 2020 only in the following case types: expedited housing/eviction matters which have been commenced under Minn. Stat. 504B.321, subd. 2 and housing/eviction matters where there is a showing of individual or public risk to health or safety (e.g. lockout, matters concerning domestic abuse); civil commitments; and emergency guardianship/conservatorship matters.   Parties may also appear by phone </w:t>
      </w:r>
      <w:r w:rsidR="000560A5" w:rsidRPr="00BE1E51">
        <w:rPr>
          <w:rFonts w:ascii="Segoe UI" w:hAnsi="Segoe UI" w:cs="Segoe UI"/>
          <w:w w:val="105"/>
          <w:sz w:val="20"/>
          <w:szCs w:val="20"/>
        </w:rPr>
        <w:t>for those hearings, except when</w:t>
      </w:r>
      <w:r w:rsidRPr="00BE1E51">
        <w:rPr>
          <w:rFonts w:ascii="Segoe UI" w:hAnsi="Segoe UI" w:cs="Segoe UI"/>
          <w:w w:val="105"/>
          <w:sz w:val="20"/>
          <w:szCs w:val="20"/>
        </w:rPr>
        <w:t xml:space="preserve"> the request for relief presents an immediate liberty concern, or when public or personal safety concerns are paramount.  In person hearings are also authorized through April 22, 2020 for garnishment exemption hearings filed under Minn. Stat. 571.914, subd. 1. </w:t>
      </w:r>
    </w:p>
    <w:p w:rsidR="00B41F8E" w:rsidRPr="00BE1E51" w:rsidRDefault="00B41F8E" w:rsidP="0097432A">
      <w:pPr>
        <w:spacing w:line="240" w:lineRule="auto"/>
        <w:ind w:left="288"/>
        <w:jc w:val="both"/>
        <w:rPr>
          <w:rFonts w:ascii="Segoe UI" w:hAnsi="Segoe UI" w:cs="Segoe UI"/>
          <w:w w:val="105"/>
          <w:sz w:val="20"/>
          <w:szCs w:val="20"/>
        </w:rPr>
      </w:pPr>
    </w:p>
    <w:p w:rsidR="00B41F8E" w:rsidRPr="00BE1E51" w:rsidRDefault="00B41F8E" w:rsidP="0097432A">
      <w:pPr>
        <w:spacing w:line="240" w:lineRule="auto"/>
        <w:ind w:left="288"/>
        <w:jc w:val="both"/>
        <w:rPr>
          <w:rFonts w:ascii="Segoe UI" w:hAnsi="Segoe UI" w:cs="Segoe UI"/>
          <w:bCs/>
          <w:sz w:val="20"/>
          <w:szCs w:val="20"/>
        </w:rPr>
      </w:pPr>
      <w:r w:rsidRPr="00BE1E51">
        <w:rPr>
          <w:rFonts w:ascii="Segoe UI" w:hAnsi="Segoe UI" w:cs="Segoe UI"/>
          <w:w w:val="105"/>
          <w:sz w:val="20"/>
          <w:szCs w:val="20"/>
        </w:rPr>
        <w:lastRenderedPageBreak/>
        <w:t xml:space="preserve">In all other case types though April 22, 2020, </w:t>
      </w:r>
      <w:r w:rsidR="00360BBF" w:rsidRPr="00BE1E51">
        <w:rPr>
          <w:rFonts w:ascii="Segoe UI" w:hAnsi="Segoe UI" w:cs="Segoe UI"/>
          <w:w w:val="105"/>
          <w:sz w:val="20"/>
          <w:szCs w:val="20"/>
        </w:rPr>
        <w:t xml:space="preserve">with approval of the assigned judge, </w:t>
      </w:r>
      <w:r w:rsidRPr="00BE1E51">
        <w:rPr>
          <w:rFonts w:ascii="Segoe UI" w:hAnsi="Segoe UI" w:cs="Segoe UI"/>
          <w:w w:val="105"/>
          <w:sz w:val="20"/>
          <w:szCs w:val="20"/>
        </w:rPr>
        <w:t>hearings may be held by phone, or by review of the parties’ submissions without oral argument, to the extent feasible, practicable, and in the interests of justice.</w:t>
      </w:r>
      <w:r w:rsidR="00360BBF" w:rsidRPr="00BE1E51">
        <w:rPr>
          <w:rFonts w:ascii="Segoe UI" w:hAnsi="Segoe UI" w:cs="Segoe UI"/>
          <w:w w:val="105"/>
          <w:sz w:val="20"/>
          <w:szCs w:val="20"/>
        </w:rPr>
        <w:t xml:space="preserve"> </w:t>
      </w:r>
      <w:r w:rsidR="00162256" w:rsidRPr="00BE1E51">
        <w:rPr>
          <w:rFonts w:ascii="Segoe UI" w:hAnsi="Segoe UI" w:cs="Segoe UI"/>
          <w:sz w:val="20"/>
          <w:szCs w:val="20"/>
        </w:rPr>
        <w:t>Please contact the assigned judge o</w:t>
      </w:r>
      <w:r w:rsidR="002D74A9" w:rsidRPr="00BE1E51">
        <w:rPr>
          <w:rFonts w:ascii="Segoe UI" w:hAnsi="Segoe UI" w:cs="Segoe UI"/>
          <w:sz w:val="20"/>
          <w:szCs w:val="20"/>
        </w:rPr>
        <w:t xml:space="preserve">r call 651-266-8266 X3 for additional </w:t>
      </w:r>
      <w:r w:rsidR="00162256" w:rsidRPr="00BE1E51">
        <w:rPr>
          <w:rFonts w:ascii="Segoe UI" w:hAnsi="Segoe UI" w:cs="Segoe UI"/>
          <w:sz w:val="20"/>
          <w:szCs w:val="20"/>
        </w:rPr>
        <w:t xml:space="preserve">information. </w:t>
      </w:r>
    </w:p>
    <w:p w:rsidR="0097432A" w:rsidRPr="00BE1E51" w:rsidRDefault="0097432A" w:rsidP="00D14CD7">
      <w:pPr>
        <w:spacing w:line="240" w:lineRule="auto"/>
        <w:jc w:val="both"/>
        <w:rPr>
          <w:rFonts w:ascii="Segoe UI" w:hAnsi="Segoe UI" w:cs="Segoe UI"/>
          <w:b/>
          <w:bCs/>
          <w:sz w:val="20"/>
          <w:szCs w:val="20"/>
          <w:u w:val="single"/>
        </w:rPr>
      </w:pPr>
    </w:p>
    <w:p w:rsidR="00D14CD7" w:rsidRPr="00BE1E51" w:rsidRDefault="00D14CD7" w:rsidP="000774B6">
      <w:pPr>
        <w:spacing w:line="240" w:lineRule="auto"/>
        <w:rPr>
          <w:rFonts w:ascii="Segoe UI" w:hAnsi="Segoe UI" w:cs="Segoe UI"/>
          <w:b/>
          <w:bCs/>
          <w:sz w:val="20"/>
          <w:szCs w:val="20"/>
          <w:u w:val="single"/>
        </w:rPr>
      </w:pPr>
      <w:r w:rsidRPr="00BE1E51">
        <w:rPr>
          <w:rFonts w:ascii="Segoe UI" w:hAnsi="Segoe UI" w:cs="Segoe UI"/>
          <w:b/>
          <w:bCs/>
          <w:sz w:val="20"/>
          <w:szCs w:val="20"/>
          <w:u w:val="single"/>
        </w:rPr>
        <w:t xml:space="preserve">Family and Domestic Abuse/Harassment: </w:t>
      </w:r>
    </w:p>
    <w:p w:rsidR="00D14CD7" w:rsidRPr="00BE1E51" w:rsidRDefault="00D14CD7" w:rsidP="000774B6">
      <w:pPr>
        <w:widowControl w:val="0"/>
        <w:tabs>
          <w:tab w:val="left" w:pos="1520"/>
        </w:tabs>
        <w:autoSpaceDE w:val="0"/>
        <w:autoSpaceDN w:val="0"/>
        <w:spacing w:line="240" w:lineRule="auto"/>
        <w:ind w:left="360" w:right="115"/>
        <w:jc w:val="both"/>
        <w:rPr>
          <w:rFonts w:ascii="Segoe UI" w:eastAsia="Times New Roman" w:hAnsi="Segoe UI" w:cs="Segoe UI"/>
          <w:sz w:val="20"/>
          <w:szCs w:val="20"/>
        </w:rPr>
      </w:pPr>
      <w:r w:rsidRPr="00BE1E51">
        <w:rPr>
          <w:rFonts w:ascii="Segoe UI" w:hAnsi="Segoe UI" w:cs="Segoe UI"/>
          <w:bCs/>
          <w:sz w:val="20"/>
          <w:szCs w:val="20"/>
        </w:rPr>
        <w:t>Per A</w:t>
      </w:r>
      <w:r w:rsidRPr="00BE1E51">
        <w:rPr>
          <w:rFonts w:ascii="Segoe UI" w:hAnsi="Segoe UI" w:cs="Segoe UI"/>
          <w:sz w:val="20"/>
          <w:szCs w:val="20"/>
        </w:rPr>
        <w:t xml:space="preserve">dministrative Order </w:t>
      </w:r>
      <w:r w:rsidRPr="00BE1E51">
        <w:rPr>
          <w:rFonts w:ascii="Segoe UI" w:hAnsi="Segoe UI" w:cs="Segoe UI"/>
          <w:color w:val="010101"/>
          <w:w w:val="105"/>
          <w:sz w:val="20"/>
          <w:szCs w:val="20"/>
        </w:rPr>
        <w:t xml:space="preserve">ADM20-8001, effective </w:t>
      </w:r>
      <w:r w:rsidRPr="00BE1E51">
        <w:rPr>
          <w:rFonts w:ascii="Segoe UI" w:hAnsi="Segoe UI" w:cs="Segoe UI"/>
          <w:w w:val="105"/>
          <w:sz w:val="20"/>
          <w:szCs w:val="20"/>
        </w:rPr>
        <w:t>March 23, 2020, hearings are authorized on an emergency basis only in the following case types: emergency change-of-custody requests and orders for protection (OFP). All other in-person family proceedings are suspended until April 22, 2020 or until further notice from this Court. For</w:t>
      </w:r>
      <w:r w:rsidRPr="00BE1E51">
        <w:rPr>
          <w:rFonts w:ascii="Segoe UI" w:hAnsi="Segoe UI" w:cs="Segoe UI"/>
          <w:sz w:val="20"/>
          <w:szCs w:val="20"/>
        </w:rPr>
        <w:t xml:space="preserve"> those family matters postponed, </w:t>
      </w:r>
      <w:r w:rsidRPr="00BE1E51">
        <w:rPr>
          <w:rFonts w:ascii="Segoe UI" w:eastAsia="Times New Roman" w:hAnsi="Segoe UI" w:cs="Segoe UI"/>
          <w:sz w:val="20"/>
          <w:szCs w:val="20"/>
        </w:rPr>
        <w:t>individual parties may request a hearing, in writing, if an emergent situation</w:t>
      </w:r>
      <w:r w:rsidRPr="00BE1E51">
        <w:rPr>
          <w:rFonts w:ascii="Segoe UI" w:hAnsi="Segoe UI" w:cs="Segoe UI"/>
          <w:sz w:val="20"/>
          <w:szCs w:val="20"/>
        </w:rPr>
        <w:t xml:space="preserve"> requiring the attention of the court </w:t>
      </w:r>
      <w:r w:rsidRPr="00BE1E51">
        <w:rPr>
          <w:rFonts w:ascii="Segoe UI" w:eastAsia="Times New Roman" w:hAnsi="Segoe UI" w:cs="Segoe UI"/>
          <w:sz w:val="20"/>
          <w:szCs w:val="20"/>
        </w:rPr>
        <w:t>arises.</w:t>
      </w:r>
    </w:p>
    <w:p w:rsidR="00D14CD7" w:rsidRPr="00BE1E51" w:rsidRDefault="00D14CD7" w:rsidP="00D14CD7">
      <w:pPr>
        <w:widowControl w:val="0"/>
        <w:tabs>
          <w:tab w:val="left" w:pos="1520"/>
        </w:tabs>
        <w:autoSpaceDE w:val="0"/>
        <w:autoSpaceDN w:val="0"/>
        <w:spacing w:line="240" w:lineRule="auto"/>
        <w:ind w:left="360" w:right="115"/>
        <w:jc w:val="both"/>
        <w:rPr>
          <w:rFonts w:ascii="Segoe UI" w:eastAsia="Times New Roman" w:hAnsi="Segoe UI" w:cs="Segoe UI"/>
          <w:sz w:val="18"/>
          <w:szCs w:val="18"/>
        </w:rPr>
      </w:pPr>
    </w:p>
    <w:p w:rsidR="00D14CD7" w:rsidRPr="00BE1E51" w:rsidRDefault="00D14CD7" w:rsidP="000560A5">
      <w:pPr>
        <w:widowControl w:val="0"/>
        <w:tabs>
          <w:tab w:val="left" w:pos="1520"/>
        </w:tabs>
        <w:autoSpaceDE w:val="0"/>
        <w:autoSpaceDN w:val="0"/>
        <w:spacing w:line="240" w:lineRule="auto"/>
        <w:ind w:left="360" w:right="115"/>
        <w:jc w:val="both"/>
        <w:rPr>
          <w:rFonts w:ascii="Segoe UI" w:hAnsi="Segoe UI" w:cs="Segoe UI"/>
          <w:w w:val="105"/>
          <w:sz w:val="20"/>
          <w:szCs w:val="20"/>
        </w:rPr>
      </w:pPr>
      <w:r w:rsidRPr="00BE1E51">
        <w:rPr>
          <w:rFonts w:ascii="Segoe UI" w:eastAsia="Times New Roman" w:hAnsi="Segoe UI" w:cs="Segoe UI"/>
          <w:sz w:val="20"/>
          <w:szCs w:val="20"/>
        </w:rPr>
        <w:t>Parties may also request the Court to consider motions based solely on paper submissions and without oral argument or the Court may schedule hearings that require parties and attorneys to appear without being in the courtroom such as telephonically or video conference</w:t>
      </w:r>
      <w:r w:rsidR="000560A5" w:rsidRPr="00BE1E51">
        <w:rPr>
          <w:rFonts w:ascii="Segoe UI" w:eastAsia="Times New Roman" w:hAnsi="Segoe UI" w:cs="Segoe UI"/>
          <w:sz w:val="20"/>
          <w:szCs w:val="20"/>
        </w:rPr>
        <w:t>.</w:t>
      </w:r>
    </w:p>
    <w:p w:rsidR="008748F8" w:rsidRPr="00BE1E51" w:rsidRDefault="008748F8" w:rsidP="00D14CD7">
      <w:pPr>
        <w:spacing w:line="240" w:lineRule="auto"/>
        <w:jc w:val="both"/>
        <w:rPr>
          <w:rFonts w:ascii="Segoe UI" w:hAnsi="Segoe UI" w:cs="Segoe UI"/>
          <w:b/>
          <w:bCs/>
          <w:sz w:val="20"/>
          <w:szCs w:val="20"/>
          <w:u w:val="single"/>
        </w:rPr>
      </w:pPr>
    </w:p>
    <w:p w:rsidR="00D14CD7" w:rsidRPr="00BE1E51" w:rsidRDefault="00D14CD7" w:rsidP="00D14CD7">
      <w:pPr>
        <w:spacing w:line="240" w:lineRule="auto"/>
        <w:jc w:val="both"/>
        <w:rPr>
          <w:rFonts w:ascii="Segoe UI" w:hAnsi="Segoe UI" w:cs="Segoe UI"/>
          <w:b/>
          <w:bCs/>
          <w:sz w:val="20"/>
          <w:szCs w:val="20"/>
          <w:u w:val="single"/>
        </w:rPr>
      </w:pPr>
      <w:r w:rsidRPr="00BE1E51">
        <w:rPr>
          <w:rFonts w:ascii="Segoe UI" w:hAnsi="Segoe UI" w:cs="Segoe UI"/>
          <w:b/>
          <w:bCs/>
          <w:sz w:val="20"/>
          <w:szCs w:val="20"/>
          <w:u w:val="single"/>
        </w:rPr>
        <w:t>Criminal:</w:t>
      </w:r>
    </w:p>
    <w:p w:rsidR="00D14CD7" w:rsidRPr="00BE1E51" w:rsidRDefault="00D14CD7" w:rsidP="00D14CD7">
      <w:pPr>
        <w:spacing w:line="240" w:lineRule="auto"/>
        <w:ind w:left="360"/>
        <w:jc w:val="both"/>
        <w:rPr>
          <w:rFonts w:ascii="Segoe UI" w:hAnsi="Segoe UI" w:cs="Segoe UI"/>
          <w:w w:val="105"/>
          <w:sz w:val="20"/>
          <w:szCs w:val="20"/>
        </w:rPr>
      </w:pPr>
      <w:r w:rsidRPr="00BE1E51">
        <w:rPr>
          <w:rFonts w:ascii="Segoe UI" w:hAnsi="Segoe UI" w:cs="Segoe UI"/>
          <w:bCs/>
          <w:sz w:val="20"/>
          <w:szCs w:val="20"/>
        </w:rPr>
        <w:t>Per A</w:t>
      </w:r>
      <w:r w:rsidRPr="00BE1E51">
        <w:rPr>
          <w:rFonts w:ascii="Segoe UI" w:hAnsi="Segoe UI" w:cs="Segoe UI"/>
          <w:sz w:val="20"/>
          <w:szCs w:val="20"/>
        </w:rPr>
        <w:t xml:space="preserve">dministrative Order </w:t>
      </w:r>
      <w:r w:rsidRPr="00BE1E51">
        <w:rPr>
          <w:rFonts w:ascii="Segoe UI" w:hAnsi="Segoe UI" w:cs="Segoe UI"/>
          <w:color w:val="010101"/>
          <w:w w:val="105"/>
          <w:sz w:val="20"/>
          <w:szCs w:val="20"/>
        </w:rPr>
        <w:t xml:space="preserve">ADM20-8001, effective </w:t>
      </w:r>
      <w:r w:rsidRPr="00BE1E51">
        <w:rPr>
          <w:rFonts w:ascii="Segoe UI" w:hAnsi="Segoe UI" w:cs="Segoe UI"/>
          <w:w w:val="105"/>
          <w:sz w:val="20"/>
          <w:szCs w:val="20"/>
        </w:rPr>
        <w:t>March 23, 2020, hearings are authorized on an emergency basis only in the following case types in which the defendant is in-custody</w:t>
      </w:r>
      <w:r w:rsidRPr="00BE1E51">
        <w:rPr>
          <w:rFonts w:ascii="Segoe UI" w:hAnsi="Segoe UI" w:cs="Segoe UI"/>
          <w:bCs/>
          <w:sz w:val="20"/>
          <w:szCs w:val="20"/>
        </w:rPr>
        <w:t xml:space="preserve">: </w:t>
      </w:r>
      <w:r w:rsidRPr="00BE1E51">
        <w:rPr>
          <w:rFonts w:ascii="Segoe UI" w:hAnsi="Segoe UI" w:cs="Segoe UI"/>
          <w:w w:val="105"/>
          <w:sz w:val="20"/>
          <w:szCs w:val="20"/>
        </w:rPr>
        <w:t>bail</w:t>
      </w:r>
      <w:r w:rsidRPr="00BE1E51">
        <w:rPr>
          <w:rFonts w:ascii="Segoe UI" w:hAnsi="Segoe UI" w:cs="Segoe UI"/>
          <w:spacing w:val="-6"/>
          <w:w w:val="105"/>
          <w:sz w:val="20"/>
          <w:szCs w:val="20"/>
        </w:rPr>
        <w:t xml:space="preserve"> </w:t>
      </w:r>
      <w:r w:rsidRPr="00BE1E51">
        <w:rPr>
          <w:rFonts w:ascii="Segoe UI" w:hAnsi="Segoe UI" w:cs="Segoe UI"/>
          <w:w w:val="105"/>
          <w:sz w:val="20"/>
          <w:szCs w:val="20"/>
        </w:rPr>
        <w:t xml:space="preserve">review; hearings under Rule 8 of the Rules of Criminal Procedure; omnibus hearings that do not require live testimony; plea hearings; sentencing hearings; and probation revocation hearings if any necessary testimony can be provided remotely. The defendant and the attorneys may appear remotely. Victim impact information may be provided remotely. In adherence to </w:t>
      </w:r>
      <w:r w:rsidRPr="00BE1E51">
        <w:rPr>
          <w:rFonts w:ascii="Segoe UI" w:hAnsi="Segoe UI" w:cs="Segoe UI"/>
          <w:bCs/>
          <w:sz w:val="20"/>
          <w:szCs w:val="20"/>
        </w:rPr>
        <w:t>A</w:t>
      </w:r>
      <w:r w:rsidRPr="00BE1E51">
        <w:rPr>
          <w:rFonts w:ascii="Segoe UI" w:hAnsi="Segoe UI" w:cs="Segoe UI"/>
          <w:sz w:val="20"/>
          <w:szCs w:val="20"/>
        </w:rPr>
        <w:t xml:space="preserve">dministrative Order </w:t>
      </w:r>
      <w:r w:rsidRPr="00BE1E51">
        <w:rPr>
          <w:rFonts w:ascii="Segoe UI" w:hAnsi="Segoe UI" w:cs="Segoe UI"/>
          <w:color w:val="010101"/>
          <w:w w:val="105"/>
          <w:sz w:val="20"/>
          <w:szCs w:val="20"/>
        </w:rPr>
        <w:t xml:space="preserve">ADM20-8001, </w:t>
      </w:r>
      <w:r w:rsidRPr="00BE1E51">
        <w:rPr>
          <w:rFonts w:ascii="Segoe UI" w:hAnsi="Segoe UI" w:cs="Segoe UI"/>
          <w:w w:val="105"/>
          <w:sz w:val="20"/>
          <w:szCs w:val="20"/>
        </w:rPr>
        <w:t>calendars in the Second Judicial District that will proceed through April 22</w:t>
      </w:r>
      <w:r w:rsidRPr="00BE1E51">
        <w:rPr>
          <w:rFonts w:ascii="Segoe UI" w:hAnsi="Segoe UI" w:cs="Segoe UI"/>
          <w:w w:val="105"/>
          <w:sz w:val="20"/>
          <w:szCs w:val="20"/>
          <w:vertAlign w:val="superscript"/>
        </w:rPr>
        <w:t>nd</w:t>
      </w:r>
      <w:r w:rsidRPr="00BE1E51">
        <w:rPr>
          <w:rFonts w:ascii="Segoe UI" w:hAnsi="Segoe UI" w:cs="Segoe UI"/>
          <w:w w:val="105"/>
          <w:sz w:val="20"/>
          <w:szCs w:val="20"/>
        </w:rPr>
        <w:t xml:space="preserve"> are: </w:t>
      </w:r>
    </w:p>
    <w:p w:rsidR="00D14CD7" w:rsidRPr="00BE1E51" w:rsidRDefault="00D14CD7" w:rsidP="00D14CD7">
      <w:pPr>
        <w:spacing w:line="240" w:lineRule="auto"/>
        <w:ind w:left="360"/>
        <w:jc w:val="both"/>
        <w:rPr>
          <w:rFonts w:ascii="Segoe UI" w:hAnsi="Segoe UI" w:cs="Segoe UI"/>
          <w:w w:val="105"/>
          <w:sz w:val="20"/>
          <w:szCs w:val="20"/>
        </w:rPr>
      </w:pPr>
    </w:p>
    <w:p w:rsidR="00D14CD7" w:rsidRPr="00BE1E51" w:rsidRDefault="00D14CD7" w:rsidP="00D14CD7">
      <w:pPr>
        <w:pStyle w:val="ListParagraph"/>
        <w:numPr>
          <w:ilvl w:val="0"/>
          <w:numId w:val="6"/>
        </w:numPr>
        <w:spacing w:line="240" w:lineRule="auto"/>
        <w:ind w:left="1080"/>
        <w:jc w:val="both"/>
        <w:rPr>
          <w:rFonts w:ascii="Segoe UI" w:hAnsi="Segoe UI" w:cs="Segoe UI"/>
          <w:sz w:val="20"/>
          <w:szCs w:val="20"/>
        </w:rPr>
      </w:pPr>
      <w:r w:rsidRPr="00BE1E51">
        <w:rPr>
          <w:rFonts w:ascii="Segoe UI" w:hAnsi="Segoe UI" w:cs="Segoe UI"/>
          <w:sz w:val="20"/>
          <w:szCs w:val="20"/>
        </w:rPr>
        <w:t>LEC 101 for in custody matters</w:t>
      </w:r>
    </w:p>
    <w:p w:rsidR="00D14CD7" w:rsidRPr="00BE1E51" w:rsidRDefault="00D14CD7" w:rsidP="00D14CD7">
      <w:pPr>
        <w:pStyle w:val="ListParagraph"/>
        <w:numPr>
          <w:ilvl w:val="0"/>
          <w:numId w:val="4"/>
        </w:numPr>
        <w:spacing w:line="240" w:lineRule="auto"/>
        <w:ind w:left="1080"/>
        <w:contextualSpacing w:val="0"/>
        <w:jc w:val="both"/>
        <w:rPr>
          <w:rFonts w:ascii="Segoe UI" w:hAnsi="Segoe UI" w:cs="Segoe UI"/>
          <w:sz w:val="20"/>
          <w:szCs w:val="20"/>
        </w:rPr>
      </w:pPr>
      <w:r w:rsidRPr="00BE1E51">
        <w:rPr>
          <w:rFonts w:ascii="Segoe UI" w:hAnsi="Segoe UI" w:cs="Segoe UI"/>
          <w:sz w:val="20"/>
          <w:szCs w:val="20"/>
        </w:rPr>
        <w:t>LEC 102 for in custody matters</w:t>
      </w:r>
    </w:p>
    <w:p w:rsidR="00D14CD7" w:rsidRPr="00BE1E51" w:rsidRDefault="00D14CD7" w:rsidP="00D14CD7">
      <w:pPr>
        <w:pStyle w:val="ListParagraph"/>
        <w:numPr>
          <w:ilvl w:val="0"/>
          <w:numId w:val="4"/>
        </w:numPr>
        <w:spacing w:line="240" w:lineRule="auto"/>
        <w:ind w:left="1080"/>
        <w:contextualSpacing w:val="0"/>
        <w:jc w:val="both"/>
        <w:rPr>
          <w:rFonts w:ascii="Segoe UI" w:hAnsi="Segoe UI" w:cs="Segoe UI"/>
          <w:sz w:val="20"/>
          <w:szCs w:val="20"/>
        </w:rPr>
      </w:pPr>
      <w:r w:rsidRPr="00BE1E51">
        <w:rPr>
          <w:rFonts w:ascii="Segoe UI" w:hAnsi="Segoe UI" w:cs="Segoe UI"/>
          <w:sz w:val="20"/>
          <w:szCs w:val="20"/>
        </w:rPr>
        <w:t>In custody 10 Day Demands will be consolidated with the misdemeanor LEC calendar</w:t>
      </w:r>
    </w:p>
    <w:p w:rsidR="00D14CD7" w:rsidRPr="00BE1E51" w:rsidRDefault="00D14CD7" w:rsidP="00D14CD7">
      <w:pPr>
        <w:pStyle w:val="ListParagraph"/>
        <w:numPr>
          <w:ilvl w:val="0"/>
          <w:numId w:val="4"/>
        </w:numPr>
        <w:spacing w:line="240" w:lineRule="auto"/>
        <w:ind w:left="1080"/>
        <w:contextualSpacing w:val="0"/>
        <w:jc w:val="both"/>
        <w:rPr>
          <w:rFonts w:ascii="Segoe UI" w:hAnsi="Segoe UI" w:cs="Segoe UI"/>
          <w:sz w:val="20"/>
          <w:szCs w:val="20"/>
        </w:rPr>
      </w:pPr>
      <w:r w:rsidRPr="00BE1E51">
        <w:rPr>
          <w:rFonts w:ascii="Segoe UI" w:hAnsi="Segoe UI" w:cs="Segoe UI"/>
          <w:sz w:val="20"/>
          <w:szCs w:val="20"/>
        </w:rPr>
        <w:t>Chambers</w:t>
      </w:r>
    </w:p>
    <w:p w:rsidR="00D14CD7" w:rsidRPr="00BE1E51" w:rsidRDefault="00D14CD7" w:rsidP="00D14CD7">
      <w:pPr>
        <w:pStyle w:val="ListParagraph"/>
        <w:numPr>
          <w:ilvl w:val="0"/>
          <w:numId w:val="4"/>
        </w:numPr>
        <w:spacing w:line="240" w:lineRule="auto"/>
        <w:ind w:left="1080"/>
        <w:contextualSpacing w:val="0"/>
        <w:jc w:val="both"/>
        <w:rPr>
          <w:rFonts w:ascii="Segoe UI" w:hAnsi="Segoe UI" w:cs="Segoe UI"/>
          <w:sz w:val="20"/>
          <w:szCs w:val="20"/>
        </w:rPr>
      </w:pPr>
      <w:r w:rsidRPr="00BE1E51">
        <w:rPr>
          <w:rFonts w:ascii="Segoe UI" w:hAnsi="Segoe UI" w:cs="Segoe UI"/>
          <w:sz w:val="20"/>
          <w:szCs w:val="20"/>
        </w:rPr>
        <w:t xml:space="preserve">All in custody probation violations where the 7 day period has not been waived will become resolvable at the LEC.  </w:t>
      </w:r>
    </w:p>
    <w:p w:rsidR="00D14CD7" w:rsidRPr="00BE1E51" w:rsidRDefault="00D14CD7" w:rsidP="00D14CD7">
      <w:pPr>
        <w:pStyle w:val="ListParagraph"/>
        <w:spacing w:line="240" w:lineRule="auto"/>
        <w:ind w:left="1080"/>
        <w:contextualSpacing w:val="0"/>
        <w:jc w:val="both"/>
        <w:rPr>
          <w:rFonts w:ascii="Segoe UI" w:hAnsi="Segoe UI" w:cs="Segoe UI"/>
          <w:sz w:val="20"/>
          <w:szCs w:val="20"/>
        </w:rPr>
      </w:pPr>
    </w:p>
    <w:p w:rsidR="00D14CD7" w:rsidRPr="00BE1E51" w:rsidRDefault="00D14CD7" w:rsidP="00D14CD7">
      <w:pPr>
        <w:spacing w:line="240" w:lineRule="auto"/>
        <w:ind w:left="360"/>
        <w:jc w:val="both"/>
        <w:rPr>
          <w:rFonts w:ascii="Segoe UI" w:hAnsi="Segoe UI" w:cs="Segoe UI"/>
          <w:sz w:val="20"/>
          <w:szCs w:val="20"/>
        </w:rPr>
      </w:pPr>
      <w:r w:rsidRPr="00BE1E51">
        <w:rPr>
          <w:rFonts w:ascii="Segoe UI" w:hAnsi="Segoe UI" w:cs="Segoe UI"/>
          <w:bCs/>
          <w:sz w:val="20"/>
          <w:szCs w:val="20"/>
          <w:u w:val="single"/>
        </w:rPr>
        <w:t>*A</w:t>
      </w:r>
      <w:r w:rsidRPr="00BE1E51">
        <w:rPr>
          <w:rFonts w:ascii="Segoe UI" w:hAnsi="Segoe UI" w:cs="Segoe UI"/>
          <w:w w:val="105"/>
          <w:sz w:val="20"/>
          <w:szCs w:val="20"/>
          <w:u w:val="single"/>
        </w:rPr>
        <w:t>ll</w:t>
      </w:r>
      <w:r w:rsidRPr="00BE1E51">
        <w:rPr>
          <w:rFonts w:ascii="Segoe UI" w:hAnsi="Segoe UI" w:cs="Segoe UI"/>
          <w:spacing w:val="-17"/>
          <w:w w:val="105"/>
          <w:sz w:val="20"/>
          <w:szCs w:val="20"/>
          <w:u w:val="single"/>
        </w:rPr>
        <w:t xml:space="preserve"> </w:t>
      </w:r>
      <w:r w:rsidRPr="00BE1E51">
        <w:rPr>
          <w:rFonts w:ascii="Segoe UI" w:hAnsi="Segoe UI" w:cs="Segoe UI"/>
          <w:w w:val="105"/>
          <w:sz w:val="20"/>
          <w:szCs w:val="20"/>
          <w:u w:val="single"/>
        </w:rPr>
        <w:t>other</w:t>
      </w:r>
      <w:r w:rsidRPr="00BE1E51">
        <w:rPr>
          <w:rFonts w:ascii="Segoe UI" w:hAnsi="Segoe UI" w:cs="Segoe UI"/>
          <w:spacing w:val="-12"/>
          <w:w w:val="105"/>
          <w:sz w:val="20"/>
          <w:szCs w:val="20"/>
          <w:u w:val="single"/>
        </w:rPr>
        <w:t xml:space="preserve"> </w:t>
      </w:r>
      <w:r w:rsidRPr="00BE1E51">
        <w:rPr>
          <w:rFonts w:ascii="Segoe UI" w:hAnsi="Segoe UI" w:cs="Segoe UI"/>
          <w:w w:val="105"/>
          <w:sz w:val="20"/>
          <w:szCs w:val="20"/>
          <w:u w:val="single"/>
        </w:rPr>
        <w:t>proceedings</w:t>
      </w:r>
      <w:r w:rsidRPr="00BE1E51">
        <w:rPr>
          <w:rFonts w:ascii="Segoe UI" w:hAnsi="Segoe UI" w:cs="Segoe UI"/>
          <w:spacing w:val="-2"/>
          <w:w w:val="105"/>
          <w:sz w:val="20"/>
          <w:szCs w:val="20"/>
          <w:u w:val="single"/>
        </w:rPr>
        <w:t xml:space="preserve"> </w:t>
      </w:r>
      <w:r w:rsidRPr="00BE1E51">
        <w:rPr>
          <w:rFonts w:ascii="Segoe UI" w:hAnsi="Segoe UI" w:cs="Segoe UI"/>
          <w:w w:val="105"/>
          <w:sz w:val="20"/>
          <w:szCs w:val="20"/>
          <w:u w:val="single"/>
        </w:rPr>
        <w:t>in</w:t>
      </w:r>
      <w:r w:rsidRPr="00BE1E51">
        <w:rPr>
          <w:rFonts w:ascii="Segoe UI" w:hAnsi="Segoe UI" w:cs="Segoe UI"/>
          <w:spacing w:val="-19"/>
          <w:w w:val="105"/>
          <w:sz w:val="20"/>
          <w:szCs w:val="20"/>
          <w:u w:val="single"/>
        </w:rPr>
        <w:t xml:space="preserve"> </w:t>
      </w:r>
      <w:r w:rsidRPr="00BE1E51">
        <w:rPr>
          <w:rFonts w:ascii="Segoe UI" w:hAnsi="Segoe UI" w:cs="Segoe UI"/>
          <w:w w:val="105"/>
          <w:sz w:val="20"/>
          <w:szCs w:val="20"/>
          <w:u w:val="single"/>
        </w:rPr>
        <w:t>adult</w:t>
      </w:r>
      <w:r w:rsidRPr="00BE1E51">
        <w:rPr>
          <w:rFonts w:ascii="Segoe UI" w:hAnsi="Segoe UI" w:cs="Segoe UI"/>
          <w:spacing w:val="-12"/>
          <w:w w:val="105"/>
          <w:sz w:val="20"/>
          <w:szCs w:val="20"/>
          <w:u w:val="single"/>
        </w:rPr>
        <w:t xml:space="preserve"> </w:t>
      </w:r>
      <w:r w:rsidRPr="00BE1E51">
        <w:rPr>
          <w:rFonts w:ascii="Segoe UI" w:hAnsi="Segoe UI" w:cs="Segoe UI"/>
          <w:w w:val="105"/>
          <w:sz w:val="20"/>
          <w:szCs w:val="20"/>
          <w:u w:val="single"/>
        </w:rPr>
        <w:t>criminal matters</w:t>
      </w:r>
      <w:r w:rsidRPr="00BE1E51">
        <w:rPr>
          <w:rFonts w:ascii="Segoe UI" w:hAnsi="Segoe UI" w:cs="Segoe UI"/>
          <w:spacing w:val="-13"/>
          <w:w w:val="105"/>
          <w:sz w:val="20"/>
          <w:szCs w:val="20"/>
          <w:u w:val="single"/>
        </w:rPr>
        <w:t xml:space="preserve"> </w:t>
      </w:r>
      <w:r w:rsidRPr="00BE1E51">
        <w:rPr>
          <w:rFonts w:ascii="Segoe UI" w:hAnsi="Segoe UI" w:cs="Segoe UI"/>
          <w:w w:val="105"/>
          <w:sz w:val="20"/>
          <w:szCs w:val="20"/>
          <w:u w:val="single"/>
        </w:rPr>
        <w:t>are suspended</w:t>
      </w:r>
      <w:r w:rsidRPr="00BE1E51">
        <w:rPr>
          <w:rFonts w:ascii="Segoe UI" w:hAnsi="Segoe UI" w:cs="Segoe UI"/>
          <w:spacing w:val="9"/>
          <w:w w:val="105"/>
          <w:sz w:val="20"/>
          <w:szCs w:val="20"/>
          <w:u w:val="single"/>
        </w:rPr>
        <w:t xml:space="preserve"> </w:t>
      </w:r>
      <w:r w:rsidRPr="00BE1E51">
        <w:rPr>
          <w:rFonts w:ascii="Segoe UI" w:hAnsi="Segoe UI" w:cs="Segoe UI"/>
          <w:w w:val="105"/>
          <w:sz w:val="20"/>
          <w:szCs w:val="20"/>
          <w:u w:val="single"/>
        </w:rPr>
        <w:t>until</w:t>
      </w:r>
      <w:r w:rsidRPr="00BE1E51">
        <w:rPr>
          <w:rFonts w:ascii="Segoe UI" w:hAnsi="Segoe UI" w:cs="Segoe UI"/>
          <w:spacing w:val="-7"/>
          <w:w w:val="105"/>
          <w:sz w:val="20"/>
          <w:szCs w:val="20"/>
          <w:u w:val="single"/>
        </w:rPr>
        <w:t xml:space="preserve"> </w:t>
      </w:r>
      <w:r w:rsidRPr="00BE1E51">
        <w:rPr>
          <w:rFonts w:ascii="Segoe UI" w:hAnsi="Segoe UI" w:cs="Segoe UI"/>
          <w:w w:val="105"/>
          <w:sz w:val="20"/>
          <w:szCs w:val="20"/>
          <w:u w:val="single"/>
        </w:rPr>
        <w:t>April</w:t>
      </w:r>
      <w:r w:rsidRPr="00BE1E51">
        <w:rPr>
          <w:rFonts w:ascii="Segoe UI" w:hAnsi="Segoe UI" w:cs="Segoe UI"/>
          <w:spacing w:val="-5"/>
          <w:w w:val="105"/>
          <w:sz w:val="20"/>
          <w:szCs w:val="20"/>
          <w:u w:val="single"/>
        </w:rPr>
        <w:t xml:space="preserve"> </w:t>
      </w:r>
      <w:r w:rsidRPr="00BE1E51">
        <w:rPr>
          <w:rFonts w:ascii="Segoe UI" w:hAnsi="Segoe UI" w:cs="Segoe UI"/>
          <w:w w:val="105"/>
          <w:sz w:val="20"/>
          <w:szCs w:val="20"/>
          <w:u w:val="single"/>
        </w:rPr>
        <w:t>22,</w:t>
      </w:r>
      <w:r w:rsidRPr="00BE1E51">
        <w:rPr>
          <w:rFonts w:ascii="Segoe UI" w:hAnsi="Segoe UI" w:cs="Segoe UI"/>
          <w:spacing w:val="-10"/>
          <w:w w:val="105"/>
          <w:sz w:val="20"/>
          <w:szCs w:val="20"/>
          <w:u w:val="single"/>
        </w:rPr>
        <w:t xml:space="preserve"> </w:t>
      </w:r>
      <w:r w:rsidRPr="00BE1E51">
        <w:rPr>
          <w:rFonts w:ascii="Segoe UI" w:hAnsi="Segoe UI" w:cs="Segoe UI"/>
          <w:w w:val="105"/>
          <w:sz w:val="20"/>
          <w:szCs w:val="20"/>
          <w:u w:val="single"/>
        </w:rPr>
        <w:t>2020</w:t>
      </w:r>
      <w:r w:rsidRPr="00BE1E51">
        <w:rPr>
          <w:rFonts w:ascii="Segoe UI" w:hAnsi="Segoe UI" w:cs="Segoe UI"/>
          <w:spacing w:val="-7"/>
          <w:w w:val="105"/>
          <w:sz w:val="20"/>
          <w:szCs w:val="20"/>
        </w:rPr>
        <w:t xml:space="preserve"> </w:t>
      </w:r>
      <w:r w:rsidRPr="00BE1E51">
        <w:rPr>
          <w:rFonts w:ascii="Segoe UI" w:hAnsi="Segoe UI" w:cs="Segoe UI"/>
          <w:w w:val="105"/>
          <w:sz w:val="20"/>
          <w:szCs w:val="20"/>
        </w:rPr>
        <w:t>or</w:t>
      </w:r>
      <w:r w:rsidRPr="00BE1E51">
        <w:rPr>
          <w:rFonts w:ascii="Segoe UI" w:hAnsi="Segoe UI" w:cs="Segoe UI"/>
          <w:spacing w:val="-7"/>
          <w:w w:val="105"/>
          <w:sz w:val="20"/>
          <w:szCs w:val="20"/>
        </w:rPr>
        <w:t xml:space="preserve"> </w:t>
      </w:r>
      <w:r w:rsidRPr="00BE1E51">
        <w:rPr>
          <w:rFonts w:ascii="Segoe UI" w:hAnsi="Segoe UI" w:cs="Segoe UI"/>
          <w:w w:val="105"/>
          <w:sz w:val="20"/>
          <w:szCs w:val="20"/>
        </w:rPr>
        <w:t>until</w:t>
      </w:r>
      <w:r w:rsidRPr="00BE1E51">
        <w:rPr>
          <w:rFonts w:ascii="Segoe UI" w:hAnsi="Segoe UI" w:cs="Segoe UI"/>
          <w:spacing w:val="-5"/>
          <w:w w:val="105"/>
          <w:sz w:val="20"/>
          <w:szCs w:val="20"/>
        </w:rPr>
        <w:t xml:space="preserve"> </w:t>
      </w:r>
      <w:r w:rsidRPr="00BE1E51">
        <w:rPr>
          <w:rFonts w:ascii="Segoe UI" w:hAnsi="Segoe UI" w:cs="Segoe UI"/>
          <w:w w:val="105"/>
          <w:sz w:val="20"/>
          <w:szCs w:val="20"/>
        </w:rPr>
        <w:t>further</w:t>
      </w:r>
      <w:r w:rsidRPr="00BE1E51">
        <w:rPr>
          <w:rFonts w:ascii="Segoe UI" w:hAnsi="Segoe UI" w:cs="Segoe UI"/>
          <w:spacing w:val="-9"/>
          <w:w w:val="105"/>
          <w:sz w:val="20"/>
          <w:szCs w:val="20"/>
        </w:rPr>
        <w:t xml:space="preserve"> </w:t>
      </w:r>
      <w:r w:rsidRPr="00BE1E51">
        <w:rPr>
          <w:rFonts w:ascii="Segoe UI" w:hAnsi="Segoe UI" w:cs="Segoe UI"/>
          <w:w w:val="105"/>
          <w:sz w:val="20"/>
          <w:szCs w:val="20"/>
        </w:rPr>
        <w:t>notice from</w:t>
      </w:r>
      <w:r w:rsidRPr="00BE1E51">
        <w:rPr>
          <w:rFonts w:ascii="Segoe UI" w:hAnsi="Segoe UI" w:cs="Segoe UI"/>
          <w:spacing w:val="-17"/>
          <w:w w:val="105"/>
          <w:sz w:val="20"/>
          <w:szCs w:val="20"/>
        </w:rPr>
        <w:t xml:space="preserve"> </w:t>
      </w:r>
      <w:r w:rsidRPr="00BE1E51">
        <w:rPr>
          <w:rFonts w:ascii="Segoe UI" w:hAnsi="Segoe UI" w:cs="Segoe UI"/>
          <w:w w:val="105"/>
          <w:sz w:val="20"/>
          <w:szCs w:val="20"/>
        </w:rPr>
        <w:t>this</w:t>
      </w:r>
      <w:r w:rsidRPr="00BE1E51">
        <w:rPr>
          <w:rFonts w:ascii="Segoe UI" w:hAnsi="Segoe UI" w:cs="Segoe UI"/>
          <w:spacing w:val="-18"/>
          <w:w w:val="105"/>
          <w:sz w:val="20"/>
          <w:szCs w:val="20"/>
        </w:rPr>
        <w:t xml:space="preserve"> </w:t>
      </w:r>
      <w:r w:rsidRPr="00BE1E51">
        <w:rPr>
          <w:rFonts w:ascii="Segoe UI" w:hAnsi="Segoe UI" w:cs="Segoe UI"/>
          <w:w w:val="105"/>
          <w:sz w:val="20"/>
          <w:szCs w:val="20"/>
        </w:rPr>
        <w:t xml:space="preserve">court. Those calendars include all out-of-custody: </w:t>
      </w:r>
    </w:p>
    <w:p w:rsidR="00D14CD7" w:rsidRPr="00BE1E51" w:rsidRDefault="00D14CD7" w:rsidP="00D14CD7">
      <w:pPr>
        <w:spacing w:line="240" w:lineRule="auto"/>
        <w:ind w:left="360"/>
        <w:jc w:val="both"/>
        <w:rPr>
          <w:rFonts w:ascii="Segoe UI" w:hAnsi="Segoe UI" w:cs="Segoe UI"/>
          <w:bCs/>
          <w:sz w:val="20"/>
          <w:szCs w:val="20"/>
          <w:u w:val="single"/>
        </w:rPr>
      </w:pPr>
    </w:p>
    <w:p w:rsidR="00D14CD7" w:rsidRPr="00BE1E51" w:rsidRDefault="00D14CD7" w:rsidP="00D14CD7">
      <w:pPr>
        <w:pStyle w:val="ListParagraph"/>
        <w:numPr>
          <w:ilvl w:val="0"/>
          <w:numId w:val="5"/>
        </w:numPr>
        <w:spacing w:line="240" w:lineRule="auto"/>
        <w:ind w:left="1080"/>
        <w:jc w:val="both"/>
        <w:rPr>
          <w:rFonts w:ascii="Segoe UI" w:hAnsi="Segoe UI" w:cs="Segoe UI"/>
          <w:sz w:val="20"/>
          <w:szCs w:val="20"/>
        </w:rPr>
      </w:pPr>
      <w:r w:rsidRPr="00BE1E51">
        <w:rPr>
          <w:rFonts w:ascii="Segoe UI" w:hAnsi="Segoe UI" w:cs="Segoe UI"/>
          <w:sz w:val="20"/>
          <w:szCs w:val="20"/>
        </w:rPr>
        <w:t>All Maplewood Calendars</w:t>
      </w:r>
    </w:p>
    <w:p w:rsidR="00D14CD7" w:rsidRPr="00BE1E51" w:rsidRDefault="00D14CD7" w:rsidP="00D14CD7">
      <w:pPr>
        <w:pStyle w:val="ListParagraph"/>
        <w:numPr>
          <w:ilvl w:val="0"/>
          <w:numId w:val="5"/>
        </w:numPr>
        <w:spacing w:line="240" w:lineRule="auto"/>
        <w:ind w:left="1080"/>
        <w:jc w:val="both"/>
        <w:rPr>
          <w:rFonts w:ascii="Segoe UI" w:hAnsi="Segoe UI" w:cs="Segoe UI"/>
          <w:sz w:val="20"/>
          <w:szCs w:val="20"/>
        </w:rPr>
      </w:pPr>
      <w:r w:rsidRPr="00BE1E51">
        <w:rPr>
          <w:rFonts w:ascii="Segoe UI" w:hAnsi="Segoe UI" w:cs="Segoe UI"/>
          <w:sz w:val="20"/>
          <w:szCs w:val="20"/>
        </w:rPr>
        <w:t>Arraignments (131A)</w:t>
      </w:r>
    </w:p>
    <w:p w:rsidR="00D14CD7" w:rsidRPr="00BE1E51" w:rsidRDefault="00D14CD7" w:rsidP="00D14CD7">
      <w:pPr>
        <w:pStyle w:val="ListParagraph"/>
        <w:numPr>
          <w:ilvl w:val="0"/>
          <w:numId w:val="5"/>
        </w:numPr>
        <w:spacing w:line="240" w:lineRule="auto"/>
        <w:ind w:left="1080"/>
        <w:jc w:val="both"/>
        <w:rPr>
          <w:rFonts w:ascii="Segoe UI" w:hAnsi="Segoe UI" w:cs="Segoe UI"/>
          <w:sz w:val="20"/>
          <w:szCs w:val="20"/>
        </w:rPr>
      </w:pPr>
      <w:r w:rsidRPr="00BE1E51">
        <w:rPr>
          <w:rFonts w:ascii="Segoe UI" w:hAnsi="Segoe UI" w:cs="Segoe UI"/>
          <w:sz w:val="20"/>
          <w:szCs w:val="20"/>
        </w:rPr>
        <w:t xml:space="preserve">Sentencings </w:t>
      </w:r>
    </w:p>
    <w:p w:rsidR="00D14CD7" w:rsidRPr="00BE1E51" w:rsidRDefault="00D14CD7" w:rsidP="00D14CD7">
      <w:pPr>
        <w:pStyle w:val="ListParagraph"/>
        <w:numPr>
          <w:ilvl w:val="0"/>
          <w:numId w:val="5"/>
        </w:numPr>
        <w:spacing w:line="240" w:lineRule="auto"/>
        <w:ind w:left="1080"/>
        <w:jc w:val="both"/>
        <w:rPr>
          <w:rFonts w:ascii="Segoe UI" w:hAnsi="Segoe UI" w:cs="Segoe UI"/>
          <w:sz w:val="20"/>
          <w:szCs w:val="20"/>
        </w:rPr>
      </w:pPr>
      <w:r w:rsidRPr="00BE1E51">
        <w:rPr>
          <w:rFonts w:ascii="Segoe UI" w:hAnsi="Segoe UI" w:cs="Segoe UI"/>
          <w:sz w:val="20"/>
          <w:szCs w:val="20"/>
        </w:rPr>
        <w:t>St. Paul Petty Court Trials</w:t>
      </w:r>
    </w:p>
    <w:p w:rsidR="00D14CD7" w:rsidRPr="00BE1E51" w:rsidRDefault="00D14CD7" w:rsidP="00D14CD7">
      <w:pPr>
        <w:pStyle w:val="ListParagraph"/>
        <w:numPr>
          <w:ilvl w:val="0"/>
          <w:numId w:val="5"/>
        </w:numPr>
        <w:spacing w:line="240" w:lineRule="auto"/>
        <w:ind w:left="1080"/>
        <w:jc w:val="both"/>
        <w:rPr>
          <w:rFonts w:ascii="Segoe UI" w:hAnsi="Segoe UI" w:cs="Segoe UI"/>
          <w:sz w:val="20"/>
          <w:szCs w:val="20"/>
        </w:rPr>
      </w:pPr>
      <w:r w:rsidRPr="00BE1E51">
        <w:rPr>
          <w:rFonts w:ascii="Segoe UI" w:hAnsi="Segoe UI" w:cs="Segoe UI"/>
          <w:sz w:val="20"/>
          <w:szCs w:val="20"/>
        </w:rPr>
        <w:t>Implied Consents</w:t>
      </w:r>
    </w:p>
    <w:p w:rsidR="00D14CD7" w:rsidRPr="00BE1E51" w:rsidRDefault="00D14CD7" w:rsidP="00D14CD7">
      <w:pPr>
        <w:pStyle w:val="ListParagraph"/>
        <w:numPr>
          <w:ilvl w:val="0"/>
          <w:numId w:val="5"/>
        </w:numPr>
        <w:spacing w:line="240" w:lineRule="auto"/>
        <w:ind w:left="1080"/>
        <w:jc w:val="both"/>
        <w:rPr>
          <w:rFonts w:ascii="Segoe UI" w:hAnsi="Segoe UI" w:cs="Segoe UI"/>
          <w:sz w:val="20"/>
          <w:szCs w:val="20"/>
        </w:rPr>
      </w:pPr>
      <w:r w:rsidRPr="00BE1E51">
        <w:rPr>
          <w:rFonts w:ascii="Segoe UI" w:hAnsi="Segoe UI" w:cs="Segoe UI"/>
          <w:sz w:val="20"/>
          <w:szCs w:val="20"/>
        </w:rPr>
        <w:t>Out of custody Rule 8 and OH hearings</w:t>
      </w:r>
    </w:p>
    <w:p w:rsidR="00D14CD7" w:rsidRPr="00BE1E51" w:rsidRDefault="00D14CD7" w:rsidP="00D14CD7">
      <w:pPr>
        <w:pStyle w:val="ListParagraph"/>
        <w:numPr>
          <w:ilvl w:val="0"/>
          <w:numId w:val="5"/>
        </w:numPr>
        <w:spacing w:line="240" w:lineRule="auto"/>
        <w:ind w:left="1080"/>
        <w:jc w:val="both"/>
        <w:rPr>
          <w:rFonts w:ascii="Segoe UI" w:hAnsi="Segoe UI" w:cs="Segoe UI"/>
          <w:sz w:val="20"/>
          <w:szCs w:val="20"/>
        </w:rPr>
      </w:pPr>
      <w:r w:rsidRPr="00BE1E51">
        <w:rPr>
          <w:rFonts w:ascii="Segoe UI" w:hAnsi="Segoe UI" w:cs="Segoe UI"/>
          <w:sz w:val="20"/>
          <w:szCs w:val="20"/>
        </w:rPr>
        <w:t>Out of custody criminal trials</w:t>
      </w:r>
    </w:p>
    <w:p w:rsidR="00D14CD7" w:rsidRPr="00BE1E51" w:rsidRDefault="00D14CD7" w:rsidP="00D14CD7">
      <w:pPr>
        <w:pStyle w:val="ListParagraph"/>
        <w:numPr>
          <w:ilvl w:val="0"/>
          <w:numId w:val="5"/>
        </w:numPr>
        <w:spacing w:line="240" w:lineRule="auto"/>
        <w:ind w:left="1080"/>
        <w:jc w:val="both"/>
        <w:rPr>
          <w:rFonts w:ascii="Segoe UI" w:hAnsi="Segoe UI" w:cs="Segoe UI"/>
          <w:sz w:val="20"/>
          <w:szCs w:val="20"/>
        </w:rPr>
      </w:pPr>
      <w:r w:rsidRPr="00BE1E51">
        <w:rPr>
          <w:rFonts w:ascii="Segoe UI" w:hAnsi="Segoe UI" w:cs="Segoe UI"/>
          <w:sz w:val="20"/>
          <w:szCs w:val="20"/>
        </w:rPr>
        <w:t>Evidentiary/suppression hearings</w:t>
      </w:r>
    </w:p>
    <w:p w:rsidR="00D14CD7" w:rsidRPr="00BE1E51" w:rsidRDefault="00D14CD7" w:rsidP="00BE1E51">
      <w:pPr>
        <w:pStyle w:val="ListParagraph"/>
        <w:numPr>
          <w:ilvl w:val="0"/>
          <w:numId w:val="5"/>
        </w:numPr>
        <w:spacing w:after="120" w:line="240" w:lineRule="auto"/>
        <w:ind w:left="1080"/>
        <w:jc w:val="both"/>
        <w:rPr>
          <w:rFonts w:ascii="Segoe UI" w:hAnsi="Segoe UI" w:cs="Segoe UI"/>
          <w:sz w:val="20"/>
          <w:szCs w:val="20"/>
        </w:rPr>
      </w:pPr>
      <w:r w:rsidRPr="00BE1E51">
        <w:rPr>
          <w:rFonts w:ascii="Segoe UI" w:hAnsi="Segoe UI" w:cs="Segoe UI"/>
          <w:sz w:val="20"/>
          <w:szCs w:val="20"/>
        </w:rPr>
        <w:t>Misdemeanor Pretrial/OH Calendars</w:t>
      </w:r>
    </w:p>
    <w:p w:rsidR="00D14CD7" w:rsidRPr="00BE1E51" w:rsidRDefault="00D14CD7" w:rsidP="00BE1E51">
      <w:pPr>
        <w:spacing w:after="120" w:line="240" w:lineRule="auto"/>
        <w:jc w:val="both"/>
        <w:rPr>
          <w:rFonts w:ascii="Segoe UI" w:hAnsi="Segoe UI" w:cs="Segoe UI"/>
          <w:sz w:val="20"/>
          <w:szCs w:val="20"/>
        </w:rPr>
      </w:pPr>
      <w:r w:rsidRPr="00BE1E51">
        <w:rPr>
          <w:rFonts w:ascii="Segoe UI" w:hAnsi="Segoe UI" w:cs="Segoe UI"/>
          <w:b/>
          <w:sz w:val="20"/>
          <w:szCs w:val="20"/>
          <w:u w:val="single"/>
        </w:rPr>
        <w:t>Please Note</w:t>
      </w:r>
      <w:r w:rsidRPr="00BE1E51">
        <w:rPr>
          <w:rFonts w:ascii="Segoe UI" w:hAnsi="Segoe UI" w:cs="Segoe UI"/>
          <w:sz w:val="20"/>
          <w:szCs w:val="20"/>
        </w:rPr>
        <w:t xml:space="preserve">: For those criminal matters postponed, </w:t>
      </w:r>
      <w:r w:rsidRPr="00BE1E51">
        <w:rPr>
          <w:rFonts w:ascii="Segoe UI" w:eastAsia="Times New Roman" w:hAnsi="Segoe UI" w:cs="Segoe UI"/>
          <w:sz w:val="20"/>
          <w:szCs w:val="20"/>
        </w:rPr>
        <w:t xml:space="preserve">individual parties may request a hearing, in writing, from the assigned judge if an </w:t>
      </w:r>
      <w:r w:rsidRPr="00BE1E51">
        <w:rPr>
          <w:rFonts w:ascii="Segoe UI" w:hAnsi="Segoe UI" w:cs="Segoe UI"/>
          <w:sz w:val="20"/>
          <w:szCs w:val="20"/>
        </w:rPr>
        <w:t xml:space="preserve">immediate liberty and/or safety concern requiring the attention of the court </w:t>
      </w:r>
      <w:r w:rsidRPr="00BE1E51">
        <w:rPr>
          <w:rFonts w:ascii="Segoe UI" w:eastAsia="Times New Roman" w:hAnsi="Segoe UI" w:cs="Segoe UI"/>
          <w:sz w:val="20"/>
          <w:szCs w:val="20"/>
        </w:rPr>
        <w:t>arises.  </w:t>
      </w:r>
    </w:p>
    <w:p w:rsidR="00D14CD7" w:rsidRPr="00BE1E51" w:rsidRDefault="00D14CD7" w:rsidP="00D14CD7">
      <w:pPr>
        <w:spacing w:line="240" w:lineRule="auto"/>
        <w:jc w:val="both"/>
        <w:rPr>
          <w:rFonts w:ascii="Segoe UI" w:hAnsi="Segoe UI" w:cs="Segoe UI"/>
          <w:b/>
          <w:bCs/>
          <w:sz w:val="20"/>
          <w:szCs w:val="20"/>
          <w:u w:val="single"/>
        </w:rPr>
      </w:pPr>
      <w:r w:rsidRPr="00BE1E51">
        <w:rPr>
          <w:rFonts w:ascii="Segoe UI" w:hAnsi="Segoe UI" w:cs="Segoe UI"/>
          <w:b/>
          <w:bCs/>
          <w:sz w:val="20"/>
          <w:szCs w:val="20"/>
          <w:u w:val="single"/>
        </w:rPr>
        <w:lastRenderedPageBreak/>
        <w:t xml:space="preserve">Child Protection: </w:t>
      </w:r>
    </w:p>
    <w:p w:rsidR="000774B6" w:rsidRPr="00BE1E51" w:rsidRDefault="00D14CD7" w:rsidP="000774B6">
      <w:pPr>
        <w:widowControl w:val="0"/>
        <w:tabs>
          <w:tab w:val="left" w:pos="1529"/>
        </w:tabs>
        <w:autoSpaceDE w:val="0"/>
        <w:autoSpaceDN w:val="0"/>
        <w:spacing w:line="240" w:lineRule="auto"/>
        <w:ind w:left="360" w:right="101"/>
        <w:jc w:val="both"/>
        <w:rPr>
          <w:rFonts w:ascii="Segoe UI" w:hAnsi="Segoe UI" w:cs="Segoe UI"/>
          <w:b/>
          <w:bCs/>
          <w:sz w:val="20"/>
          <w:szCs w:val="20"/>
          <w:u w:val="single"/>
        </w:rPr>
      </w:pPr>
      <w:r w:rsidRPr="00BE1E51">
        <w:rPr>
          <w:rFonts w:ascii="Segoe UI" w:hAnsi="Segoe UI" w:cs="Segoe UI"/>
          <w:bCs/>
          <w:sz w:val="20"/>
          <w:szCs w:val="20"/>
        </w:rPr>
        <w:t>Per A</w:t>
      </w:r>
      <w:r w:rsidRPr="00BE1E51">
        <w:rPr>
          <w:rFonts w:ascii="Segoe UI" w:hAnsi="Segoe UI" w:cs="Segoe UI"/>
          <w:sz w:val="20"/>
          <w:szCs w:val="20"/>
        </w:rPr>
        <w:t xml:space="preserve">dministrative Order </w:t>
      </w:r>
      <w:r w:rsidRPr="00BE1E51">
        <w:rPr>
          <w:rFonts w:ascii="Segoe UI" w:hAnsi="Segoe UI" w:cs="Segoe UI"/>
          <w:color w:val="010101"/>
          <w:w w:val="105"/>
          <w:sz w:val="20"/>
          <w:szCs w:val="20"/>
        </w:rPr>
        <w:t xml:space="preserve">ADM20-8001, effective </w:t>
      </w:r>
      <w:r w:rsidRPr="00BE1E51">
        <w:rPr>
          <w:rFonts w:ascii="Segoe UI" w:hAnsi="Segoe UI" w:cs="Segoe UI"/>
          <w:w w:val="105"/>
          <w:sz w:val="20"/>
          <w:szCs w:val="20"/>
        </w:rPr>
        <w:t>March 23, 2020, the only hearings that will be held in the courtroom are emergency protective care (EPC) hearings for children in placement. The EPC hearing shall be combined with an admit/deny hearing, if possible. Attendance in the courtroom shall be limited to parties and parent-participants, and their attorneys. All other proceedings in juvenile protection matters will be conducted based on the presiding judge's</w:t>
      </w:r>
      <w:r w:rsidRPr="00BE1E51">
        <w:rPr>
          <w:rFonts w:ascii="Segoe UI" w:hAnsi="Segoe UI" w:cs="Segoe UI"/>
          <w:spacing w:val="-33"/>
          <w:w w:val="105"/>
          <w:sz w:val="20"/>
          <w:szCs w:val="20"/>
        </w:rPr>
        <w:t xml:space="preserve"> </w:t>
      </w:r>
      <w:r w:rsidRPr="00BE1E51">
        <w:rPr>
          <w:rFonts w:ascii="Segoe UI" w:hAnsi="Segoe UI" w:cs="Segoe UI"/>
          <w:w w:val="105"/>
          <w:sz w:val="20"/>
          <w:szCs w:val="20"/>
        </w:rPr>
        <w:t>review</w:t>
      </w:r>
      <w:r w:rsidRPr="00BE1E51">
        <w:rPr>
          <w:rFonts w:ascii="Segoe UI" w:hAnsi="Segoe UI" w:cs="Segoe UI"/>
          <w:spacing w:val="-15"/>
          <w:w w:val="105"/>
          <w:sz w:val="20"/>
          <w:szCs w:val="20"/>
        </w:rPr>
        <w:t xml:space="preserve"> </w:t>
      </w:r>
      <w:r w:rsidRPr="00BE1E51">
        <w:rPr>
          <w:rFonts w:ascii="Segoe UI" w:hAnsi="Segoe UI" w:cs="Segoe UI"/>
          <w:w w:val="105"/>
          <w:sz w:val="20"/>
          <w:szCs w:val="20"/>
        </w:rPr>
        <w:t>of</w:t>
      </w:r>
      <w:r w:rsidRPr="00BE1E51">
        <w:rPr>
          <w:rFonts w:ascii="Segoe UI" w:hAnsi="Segoe UI" w:cs="Segoe UI"/>
          <w:spacing w:val="-22"/>
          <w:w w:val="105"/>
          <w:sz w:val="20"/>
          <w:szCs w:val="20"/>
        </w:rPr>
        <w:t xml:space="preserve"> </w:t>
      </w:r>
      <w:r w:rsidRPr="00BE1E51">
        <w:rPr>
          <w:rFonts w:ascii="Segoe UI" w:hAnsi="Segoe UI" w:cs="Segoe UI"/>
          <w:w w:val="105"/>
          <w:sz w:val="20"/>
          <w:szCs w:val="20"/>
        </w:rPr>
        <w:t>the</w:t>
      </w:r>
      <w:r w:rsidRPr="00BE1E51">
        <w:rPr>
          <w:rFonts w:ascii="Segoe UI" w:hAnsi="Segoe UI" w:cs="Segoe UI"/>
          <w:spacing w:val="-21"/>
          <w:w w:val="105"/>
          <w:sz w:val="20"/>
          <w:szCs w:val="20"/>
        </w:rPr>
        <w:t xml:space="preserve"> </w:t>
      </w:r>
      <w:r w:rsidRPr="00BE1E51">
        <w:rPr>
          <w:rFonts w:ascii="Segoe UI" w:hAnsi="Segoe UI" w:cs="Segoe UI"/>
          <w:w w:val="105"/>
          <w:sz w:val="20"/>
          <w:szCs w:val="20"/>
        </w:rPr>
        <w:t>parties'</w:t>
      </w:r>
      <w:r w:rsidRPr="00BE1E51">
        <w:rPr>
          <w:rFonts w:ascii="Segoe UI" w:hAnsi="Segoe UI" w:cs="Segoe UI"/>
          <w:spacing w:val="2"/>
          <w:w w:val="105"/>
          <w:sz w:val="20"/>
          <w:szCs w:val="20"/>
        </w:rPr>
        <w:t xml:space="preserve"> </w:t>
      </w:r>
      <w:r w:rsidRPr="00BE1E51">
        <w:rPr>
          <w:rFonts w:ascii="Segoe UI" w:hAnsi="Segoe UI" w:cs="Segoe UI"/>
          <w:w w:val="105"/>
          <w:sz w:val="20"/>
          <w:szCs w:val="20"/>
        </w:rPr>
        <w:t>written</w:t>
      </w:r>
      <w:r w:rsidRPr="00BE1E51">
        <w:rPr>
          <w:rFonts w:ascii="Segoe UI" w:hAnsi="Segoe UI" w:cs="Segoe UI"/>
          <w:spacing w:val="-10"/>
          <w:w w:val="105"/>
          <w:sz w:val="20"/>
          <w:szCs w:val="20"/>
        </w:rPr>
        <w:t xml:space="preserve"> </w:t>
      </w:r>
      <w:r w:rsidRPr="00BE1E51">
        <w:rPr>
          <w:rFonts w:ascii="Segoe UI" w:hAnsi="Segoe UI" w:cs="Segoe UI"/>
          <w:w w:val="105"/>
          <w:sz w:val="20"/>
          <w:szCs w:val="20"/>
        </w:rPr>
        <w:t>submissions or the hearing can be held remotely as</w:t>
      </w:r>
      <w:r w:rsidRPr="00BE1E51">
        <w:rPr>
          <w:rFonts w:ascii="Segoe UI" w:hAnsi="Segoe UI" w:cs="Segoe UI"/>
          <w:spacing w:val="-14"/>
          <w:w w:val="105"/>
          <w:sz w:val="20"/>
          <w:szCs w:val="20"/>
        </w:rPr>
        <w:t xml:space="preserve"> specifically </w:t>
      </w:r>
      <w:r w:rsidRPr="00BE1E51">
        <w:rPr>
          <w:rFonts w:ascii="Segoe UI" w:hAnsi="Segoe UI" w:cs="Segoe UI"/>
          <w:w w:val="105"/>
          <w:sz w:val="20"/>
          <w:szCs w:val="20"/>
        </w:rPr>
        <w:t>determined</w:t>
      </w:r>
      <w:r w:rsidRPr="00BE1E51">
        <w:rPr>
          <w:rFonts w:ascii="Segoe UI" w:hAnsi="Segoe UI" w:cs="Segoe UI"/>
          <w:spacing w:val="1"/>
          <w:w w:val="105"/>
          <w:sz w:val="20"/>
          <w:szCs w:val="20"/>
        </w:rPr>
        <w:t xml:space="preserve"> </w:t>
      </w:r>
      <w:r w:rsidRPr="00BE1E51">
        <w:rPr>
          <w:rFonts w:ascii="Segoe UI" w:hAnsi="Segoe UI" w:cs="Segoe UI"/>
          <w:w w:val="105"/>
          <w:sz w:val="20"/>
          <w:szCs w:val="20"/>
        </w:rPr>
        <w:t>by</w:t>
      </w:r>
      <w:r w:rsidRPr="00BE1E51">
        <w:rPr>
          <w:rFonts w:ascii="Segoe UI" w:hAnsi="Segoe UI" w:cs="Segoe UI"/>
          <w:spacing w:val="-23"/>
          <w:w w:val="105"/>
          <w:sz w:val="20"/>
          <w:szCs w:val="20"/>
        </w:rPr>
        <w:t xml:space="preserve"> </w:t>
      </w:r>
      <w:r w:rsidRPr="00BE1E51">
        <w:rPr>
          <w:rFonts w:ascii="Segoe UI" w:hAnsi="Segoe UI" w:cs="Segoe UI"/>
          <w:w w:val="105"/>
          <w:sz w:val="20"/>
          <w:szCs w:val="20"/>
        </w:rPr>
        <w:t>the</w:t>
      </w:r>
      <w:r w:rsidRPr="00BE1E51">
        <w:rPr>
          <w:rFonts w:ascii="Segoe UI" w:hAnsi="Segoe UI" w:cs="Segoe UI"/>
          <w:spacing w:val="-20"/>
          <w:w w:val="105"/>
          <w:sz w:val="20"/>
          <w:szCs w:val="20"/>
        </w:rPr>
        <w:t xml:space="preserve"> </w:t>
      </w:r>
      <w:r w:rsidRPr="00BE1E51">
        <w:rPr>
          <w:rFonts w:ascii="Segoe UI" w:hAnsi="Segoe UI" w:cs="Segoe UI"/>
          <w:w w:val="105"/>
          <w:sz w:val="20"/>
          <w:szCs w:val="20"/>
        </w:rPr>
        <w:t>presiding judge. All other proceedings or trials that require live testimony are suspended until April 22, 2020.</w:t>
      </w:r>
    </w:p>
    <w:p w:rsidR="000774B6" w:rsidRPr="00BE1E51" w:rsidRDefault="000774B6" w:rsidP="000774B6">
      <w:pPr>
        <w:widowControl w:val="0"/>
        <w:tabs>
          <w:tab w:val="left" w:pos="1529"/>
        </w:tabs>
        <w:autoSpaceDE w:val="0"/>
        <w:autoSpaceDN w:val="0"/>
        <w:spacing w:line="240" w:lineRule="auto"/>
        <w:ind w:right="101"/>
        <w:jc w:val="both"/>
        <w:rPr>
          <w:rFonts w:ascii="Segoe UI" w:hAnsi="Segoe UI" w:cs="Segoe UI"/>
          <w:b/>
          <w:bCs/>
          <w:sz w:val="20"/>
          <w:szCs w:val="20"/>
          <w:u w:val="single"/>
        </w:rPr>
      </w:pPr>
    </w:p>
    <w:p w:rsidR="00D14CD7" w:rsidRPr="00BE1E51" w:rsidRDefault="00D14CD7" w:rsidP="000774B6">
      <w:pPr>
        <w:widowControl w:val="0"/>
        <w:tabs>
          <w:tab w:val="left" w:pos="1529"/>
        </w:tabs>
        <w:autoSpaceDE w:val="0"/>
        <w:autoSpaceDN w:val="0"/>
        <w:spacing w:line="240" w:lineRule="auto"/>
        <w:ind w:right="101"/>
        <w:jc w:val="both"/>
        <w:rPr>
          <w:rFonts w:ascii="Segoe UI" w:hAnsi="Segoe UI" w:cs="Segoe UI"/>
          <w:spacing w:val="21"/>
          <w:w w:val="105"/>
          <w:sz w:val="20"/>
          <w:szCs w:val="20"/>
        </w:rPr>
      </w:pPr>
      <w:r w:rsidRPr="00BE1E51">
        <w:rPr>
          <w:rFonts w:ascii="Segoe UI" w:hAnsi="Segoe UI" w:cs="Segoe UI"/>
          <w:b/>
          <w:bCs/>
          <w:sz w:val="20"/>
          <w:szCs w:val="20"/>
          <w:u w:val="single"/>
        </w:rPr>
        <w:t xml:space="preserve">Juvenile Delinquency: </w:t>
      </w:r>
    </w:p>
    <w:p w:rsidR="00D14CD7" w:rsidRPr="00BE1E51" w:rsidRDefault="00D14CD7" w:rsidP="00D14CD7">
      <w:pPr>
        <w:spacing w:line="240" w:lineRule="auto"/>
        <w:ind w:left="360"/>
        <w:jc w:val="both"/>
        <w:rPr>
          <w:rFonts w:ascii="Segoe UI" w:hAnsi="Segoe UI" w:cs="Segoe UI"/>
          <w:w w:val="105"/>
          <w:sz w:val="20"/>
          <w:szCs w:val="20"/>
        </w:rPr>
      </w:pPr>
      <w:r w:rsidRPr="00BE1E51">
        <w:rPr>
          <w:rFonts w:ascii="Segoe UI" w:hAnsi="Segoe UI" w:cs="Segoe UI"/>
          <w:bCs/>
          <w:sz w:val="20"/>
          <w:szCs w:val="20"/>
        </w:rPr>
        <w:t>Per A</w:t>
      </w:r>
      <w:r w:rsidRPr="00BE1E51">
        <w:rPr>
          <w:rFonts w:ascii="Segoe UI" w:hAnsi="Segoe UI" w:cs="Segoe UI"/>
          <w:sz w:val="20"/>
          <w:szCs w:val="20"/>
        </w:rPr>
        <w:t xml:space="preserve">dministrative Order </w:t>
      </w:r>
      <w:r w:rsidRPr="00BE1E51">
        <w:rPr>
          <w:rFonts w:ascii="Segoe UI" w:hAnsi="Segoe UI" w:cs="Segoe UI"/>
          <w:color w:val="010101"/>
          <w:w w:val="105"/>
          <w:sz w:val="20"/>
          <w:szCs w:val="20"/>
        </w:rPr>
        <w:t xml:space="preserve">ADM20-8001, effective </w:t>
      </w:r>
      <w:r w:rsidRPr="00BE1E51">
        <w:rPr>
          <w:rFonts w:ascii="Segoe UI" w:hAnsi="Segoe UI" w:cs="Segoe UI"/>
          <w:w w:val="105"/>
          <w:sz w:val="20"/>
          <w:szCs w:val="20"/>
        </w:rPr>
        <w:t>March 23, 2020, the only hearings that are authorized to be held in the courtroom are hearings involving juveniles that are in-custody, specifically including</w:t>
      </w:r>
      <w:r w:rsidRPr="00BE1E51">
        <w:rPr>
          <w:rFonts w:ascii="Segoe UI" w:hAnsi="Segoe UI" w:cs="Segoe UI"/>
          <w:bCs/>
          <w:sz w:val="20"/>
          <w:szCs w:val="20"/>
        </w:rPr>
        <w:t xml:space="preserve"> </w:t>
      </w:r>
      <w:r w:rsidRPr="00BE1E51">
        <w:rPr>
          <w:rFonts w:ascii="Segoe UI" w:hAnsi="Segoe UI" w:cs="Segoe UI"/>
          <w:w w:val="105"/>
          <w:sz w:val="20"/>
          <w:szCs w:val="20"/>
        </w:rPr>
        <w:t>detention</w:t>
      </w:r>
      <w:r w:rsidRPr="00BE1E51">
        <w:rPr>
          <w:rFonts w:ascii="Segoe UI" w:hAnsi="Segoe UI" w:cs="Segoe UI"/>
          <w:spacing w:val="-14"/>
          <w:w w:val="105"/>
          <w:sz w:val="20"/>
          <w:szCs w:val="20"/>
        </w:rPr>
        <w:t xml:space="preserve"> </w:t>
      </w:r>
      <w:r w:rsidRPr="00BE1E51">
        <w:rPr>
          <w:rFonts w:ascii="Segoe UI" w:hAnsi="Segoe UI" w:cs="Segoe UI"/>
          <w:w w:val="105"/>
          <w:sz w:val="20"/>
          <w:szCs w:val="20"/>
        </w:rPr>
        <w:t>review hearings;</w:t>
      </w:r>
      <w:r w:rsidRPr="00BE1E51">
        <w:rPr>
          <w:rFonts w:ascii="Segoe UI" w:hAnsi="Segoe UI" w:cs="Segoe UI"/>
          <w:spacing w:val="-19"/>
          <w:w w:val="105"/>
          <w:sz w:val="20"/>
          <w:szCs w:val="20"/>
        </w:rPr>
        <w:t xml:space="preserve"> </w:t>
      </w:r>
      <w:r w:rsidRPr="00BE1E51">
        <w:rPr>
          <w:rFonts w:ascii="Segoe UI" w:hAnsi="Segoe UI" w:cs="Segoe UI"/>
          <w:w w:val="105"/>
          <w:sz w:val="20"/>
          <w:szCs w:val="20"/>
        </w:rPr>
        <w:t>omnibus</w:t>
      </w:r>
      <w:r w:rsidRPr="00BE1E51">
        <w:rPr>
          <w:rFonts w:ascii="Segoe UI" w:hAnsi="Segoe UI" w:cs="Segoe UI"/>
          <w:spacing w:val="-16"/>
          <w:w w:val="105"/>
          <w:sz w:val="20"/>
          <w:szCs w:val="20"/>
        </w:rPr>
        <w:t xml:space="preserve"> </w:t>
      </w:r>
      <w:r w:rsidRPr="00BE1E51">
        <w:rPr>
          <w:rFonts w:ascii="Segoe UI" w:hAnsi="Segoe UI" w:cs="Segoe UI"/>
          <w:w w:val="105"/>
          <w:sz w:val="20"/>
          <w:szCs w:val="20"/>
        </w:rPr>
        <w:t>hearings</w:t>
      </w:r>
      <w:r w:rsidRPr="00BE1E51">
        <w:rPr>
          <w:rFonts w:ascii="Segoe UI" w:hAnsi="Segoe UI" w:cs="Segoe UI"/>
          <w:spacing w:val="-12"/>
          <w:w w:val="105"/>
          <w:sz w:val="20"/>
          <w:szCs w:val="20"/>
        </w:rPr>
        <w:t xml:space="preserve"> </w:t>
      </w:r>
      <w:r w:rsidRPr="00BE1E51">
        <w:rPr>
          <w:rFonts w:ascii="Segoe UI" w:hAnsi="Segoe UI" w:cs="Segoe UI"/>
          <w:w w:val="105"/>
          <w:sz w:val="20"/>
          <w:szCs w:val="20"/>
        </w:rPr>
        <w:t>that do not require live testimony; plea hearings; certification hearings; extended jurisdiction juvenile hearings; disposition hearings; and probation revocation hearings. The</w:t>
      </w:r>
      <w:r w:rsidRPr="00BE1E51">
        <w:rPr>
          <w:rFonts w:ascii="Segoe UI" w:hAnsi="Segoe UI" w:cs="Segoe UI"/>
          <w:spacing w:val="-22"/>
          <w:w w:val="105"/>
          <w:sz w:val="20"/>
          <w:szCs w:val="20"/>
        </w:rPr>
        <w:t xml:space="preserve"> </w:t>
      </w:r>
      <w:r w:rsidRPr="00BE1E51">
        <w:rPr>
          <w:rFonts w:ascii="Segoe UI" w:hAnsi="Segoe UI" w:cs="Segoe UI"/>
          <w:w w:val="105"/>
          <w:sz w:val="20"/>
          <w:szCs w:val="20"/>
        </w:rPr>
        <w:t>juvenile</w:t>
      </w:r>
      <w:r w:rsidRPr="00BE1E51">
        <w:rPr>
          <w:rFonts w:ascii="Segoe UI" w:hAnsi="Segoe UI" w:cs="Segoe UI"/>
          <w:spacing w:val="-14"/>
          <w:w w:val="105"/>
          <w:sz w:val="20"/>
          <w:szCs w:val="20"/>
        </w:rPr>
        <w:t xml:space="preserve"> </w:t>
      </w:r>
      <w:r w:rsidRPr="00BE1E51">
        <w:rPr>
          <w:rFonts w:ascii="Segoe UI" w:hAnsi="Segoe UI" w:cs="Segoe UI"/>
          <w:w w:val="105"/>
          <w:sz w:val="20"/>
          <w:szCs w:val="20"/>
        </w:rPr>
        <w:t>and</w:t>
      </w:r>
      <w:r w:rsidRPr="00BE1E51">
        <w:rPr>
          <w:rFonts w:ascii="Segoe UI" w:hAnsi="Segoe UI" w:cs="Segoe UI"/>
          <w:spacing w:val="-23"/>
          <w:w w:val="105"/>
          <w:sz w:val="20"/>
          <w:szCs w:val="20"/>
        </w:rPr>
        <w:t xml:space="preserve"> </w:t>
      </w:r>
      <w:r w:rsidRPr="00BE1E51">
        <w:rPr>
          <w:rFonts w:ascii="Segoe UI" w:hAnsi="Segoe UI" w:cs="Segoe UI"/>
          <w:w w:val="105"/>
          <w:sz w:val="20"/>
          <w:szCs w:val="20"/>
        </w:rPr>
        <w:t>the</w:t>
      </w:r>
      <w:r w:rsidRPr="00BE1E51">
        <w:rPr>
          <w:rFonts w:ascii="Segoe UI" w:hAnsi="Segoe UI" w:cs="Segoe UI"/>
          <w:spacing w:val="-23"/>
          <w:w w:val="105"/>
          <w:sz w:val="20"/>
          <w:szCs w:val="20"/>
        </w:rPr>
        <w:t xml:space="preserve"> </w:t>
      </w:r>
      <w:r w:rsidRPr="00BE1E51">
        <w:rPr>
          <w:rFonts w:ascii="Segoe UI" w:hAnsi="Segoe UI" w:cs="Segoe UI"/>
          <w:w w:val="105"/>
          <w:sz w:val="20"/>
          <w:szCs w:val="20"/>
        </w:rPr>
        <w:t>attorneys</w:t>
      </w:r>
      <w:r w:rsidRPr="00BE1E51">
        <w:rPr>
          <w:rFonts w:ascii="Segoe UI" w:hAnsi="Segoe UI" w:cs="Segoe UI"/>
          <w:spacing w:val="-11"/>
          <w:w w:val="105"/>
          <w:sz w:val="20"/>
          <w:szCs w:val="20"/>
        </w:rPr>
        <w:t xml:space="preserve"> </w:t>
      </w:r>
      <w:r w:rsidRPr="00BE1E51">
        <w:rPr>
          <w:rFonts w:ascii="Segoe UI" w:hAnsi="Segoe UI" w:cs="Segoe UI"/>
          <w:w w:val="105"/>
          <w:sz w:val="20"/>
          <w:szCs w:val="20"/>
        </w:rPr>
        <w:t>may</w:t>
      </w:r>
      <w:r w:rsidRPr="00BE1E51">
        <w:rPr>
          <w:rFonts w:ascii="Segoe UI" w:hAnsi="Segoe UI" w:cs="Segoe UI"/>
          <w:spacing w:val="-17"/>
          <w:w w:val="105"/>
          <w:sz w:val="20"/>
          <w:szCs w:val="20"/>
        </w:rPr>
        <w:t xml:space="preserve"> </w:t>
      </w:r>
      <w:r w:rsidRPr="00BE1E51">
        <w:rPr>
          <w:rFonts w:ascii="Segoe UI" w:hAnsi="Segoe UI" w:cs="Segoe UI"/>
          <w:w w:val="105"/>
          <w:sz w:val="20"/>
          <w:szCs w:val="20"/>
        </w:rPr>
        <w:t xml:space="preserve">appear remotely. In adherence to </w:t>
      </w:r>
      <w:r w:rsidRPr="00BE1E51">
        <w:rPr>
          <w:rFonts w:ascii="Segoe UI" w:hAnsi="Segoe UI" w:cs="Segoe UI"/>
          <w:bCs/>
          <w:sz w:val="20"/>
          <w:szCs w:val="20"/>
        </w:rPr>
        <w:t>A</w:t>
      </w:r>
      <w:r w:rsidRPr="00BE1E51">
        <w:rPr>
          <w:rFonts w:ascii="Segoe UI" w:hAnsi="Segoe UI" w:cs="Segoe UI"/>
          <w:sz w:val="20"/>
          <w:szCs w:val="20"/>
        </w:rPr>
        <w:t xml:space="preserve">dministrative Order </w:t>
      </w:r>
      <w:r w:rsidRPr="00BE1E51">
        <w:rPr>
          <w:rFonts w:ascii="Segoe UI" w:hAnsi="Segoe UI" w:cs="Segoe UI"/>
          <w:color w:val="010101"/>
          <w:w w:val="105"/>
          <w:sz w:val="20"/>
          <w:szCs w:val="20"/>
        </w:rPr>
        <w:t xml:space="preserve">ADM20-8001, all other juvenile delinquency matters are suspended until </w:t>
      </w:r>
      <w:r w:rsidRPr="00BE1E51">
        <w:rPr>
          <w:rFonts w:ascii="Segoe UI" w:hAnsi="Segoe UI" w:cs="Segoe UI"/>
          <w:w w:val="105"/>
          <w:sz w:val="20"/>
          <w:szCs w:val="20"/>
        </w:rPr>
        <w:t>April 22</w:t>
      </w:r>
      <w:r w:rsidRPr="00BE1E51">
        <w:rPr>
          <w:rFonts w:ascii="Segoe UI" w:hAnsi="Segoe UI" w:cs="Segoe UI"/>
          <w:w w:val="105"/>
          <w:sz w:val="20"/>
          <w:szCs w:val="20"/>
          <w:vertAlign w:val="superscript"/>
        </w:rPr>
        <w:t>nd</w:t>
      </w:r>
      <w:r w:rsidRPr="00BE1E51">
        <w:rPr>
          <w:rFonts w:ascii="Segoe UI" w:hAnsi="Segoe UI" w:cs="Segoe UI"/>
          <w:w w:val="105"/>
          <w:sz w:val="20"/>
          <w:szCs w:val="20"/>
        </w:rPr>
        <w:t xml:space="preserve">, unless they can be done without oral argument by paper submissions or remotely using ITV, video conferencing, or telephonically. </w:t>
      </w:r>
    </w:p>
    <w:p w:rsidR="00D14CD7" w:rsidRPr="00BE1E51" w:rsidRDefault="00D14CD7" w:rsidP="00D14CD7">
      <w:pPr>
        <w:widowControl w:val="0"/>
        <w:tabs>
          <w:tab w:val="left" w:pos="1490"/>
        </w:tabs>
        <w:autoSpaceDE w:val="0"/>
        <w:autoSpaceDN w:val="0"/>
        <w:spacing w:before="4" w:line="240" w:lineRule="auto"/>
        <w:ind w:right="106"/>
        <w:jc w:val="both"/>
        <w:rPr>
          <w:rFonts w:ascii="Segoe UI" w:hAnsi="Segoe UI" w:cs="Segoe UI"/>
          <w:w w:val="105"/>
          <w:sz w:val="20"/>
          <w:szCs w:val="20"/>
        </w:rPr>
      </w:pPr>
    </w:p>
    <w:p w:rsidR="00D14CD7" w:rsidRPr="00BE1E51" w:rsidRDefault="00D14CD7" w:rsidP="005E67C3">
      <w:pPr>
        <w:spacing w:line="240" w:lineRule="auto"/>
        <w:ind w:left="720"/>
        <w:jc w:val="both"/>
        <w:rPr>
          <w:rFonts w:ascii="Segoe UI" w:eastAsia="Times New Roman" w:hAnsi="Segoe UI" w:cs="Segoe UI"/>
          <w:sz w:val="20"/>
          <w:szCs w:val="20"/>
        </w:rPr>
      </w:pPr>
      <w:r w:rsidRPr="00BE1E51">
        <w:rPr>
          <w:rFonts w:ascii="Segoe UI" w:hAnsi="Segoe UI" w:cs="Segoe UI"/>
          <w:b/>
          <w:sz w:val="20"/>
          <w:szCs w:val="20"/>
          <w:u w:val="single"/>
        </w:rPr>
        <w:t>Please Note</w:t>
      </w:r>
      <w:r w:rsidRPr="00BE1E51">
        <w:rPr>
          <w:rFonts w:ascii="Segoe UI" w:hAnsi="Segoe UI" w:cs="Segoe UI"/>
          <w:sz w:val="20"/>
          <w:szCs w:val="20"/>
        </w:rPr>
        <w:t xml:space="preserve">: For those juvenile delinquency matters postponed, </w:t>
      </w:r>
      <w:r w:rsidRPr="00BE1E51">
        <w:rPr>
          <w:rFonts w:ascii="Segoe UI" w:eastAsia="Times New Roman" w:hAnsi="Segoe UI" w:cs="Segoe UI"/>
          <w:sz w:val="20"/>
          <w:szCs w:val="20"/>
        </w:rPr>
        <w:t xml:space="preserve">individual parties may request a hearing, in writing, from the assigned judge if an </w:t>
      </w:r>
      <w:r w:rsidRPr="00BE1E51">
        <w:rPr>
          <w:rFonts w:ascii="Segoe UI" w:hAnsi="Segoe UI" w:cs="Segoe UI"/>
          <w:sz w:val="20"/>
          <w:szCs w:val="20"/>
        </w:rPr>
        <w:t xml:space="preserve">immediate liberty and/or safety concern requiring the attention of the court </w:t>
      </w:r>
      <w:r w:rsidRPr="00BE1E51">
        <w:rPr>
          <w:rFonts w:ascii="Segoe UI" w:eastAsia="Times New Roman" w:hAnsi="Segoe UI" w:cs="Segoe UI"/>
          <w:sz w:val="20"/>
          <w:szCs w:val="20"/>
        </w:rPr>
        <w:t>arises.</w:t>
      </w:r>
    </w:p>
    <w:p w:rsidR="00D14CD7" w:rsidRPr="00BE1E51" w:rsidRDefault="00D14CD7" w:rsidP="005E67C3">
      <w:pPr>
        <w:spacing w:line="240" w:lineRule="auto"/>
        <w:jc w:val="both"/>
        <w:rPr>
          <w:rFonts w:ascii="Segoe UI" w:eastAsia="Times New Roman" w:hAnsi="Segoe UI" w:cs="Segoe UI"/>
          <w:sz w:val="20"/>
          <w:szCs w:val="20"/>
        </w:rPr>
      </w:pPr>
    </w:p>
    <w:p w:rsidR="00D14CD7" w:rsidRPr="00BE1E51" w:rsidRDefault="00D14CD7" w:rsidP="00D14CD7">
      <w:pPr>
        <w:spacing w:line="240" w:lineRule="auto"/>
        <w:jc w:val="both"/>
        <w:rPr>
          <w:rFonts w:ascii="Segoe UI" w:hAnsi="Segoe UI" w:cs="Segoe UI"/>
          <w:bCs/>
          <w:sz w:val="20"/>
          <w:szCs w:val="20"/>
        </w:rPr>
      </w:pPr>
      <w:r w:rsidRPr="00BE1E51">
        <w:rPr>
          <w:rFonts w:ascii="Segoe UI" w:hAnsi="Segoe UI" w:cs="Segoe UI"/>
          <w:bCs/>
          <w:sz w:val="20"/>
          <w:szCs w:val="20"/>
        </w:rPr>
        <w:t>The Second Judicial District will make every effort to notify attorneys and self-represented litigants of the postponement and rescheduling of hearings during the next 30 days</w:t>
      </w:r>
      <w:r w:rsidRPr="00BE1E51">
        <w:rPr>
          <w:rFonts w:ascii="Segoe UI" w:hAnsi="Segoe UI" w:cs="Segoe UI"/>
          <w:b/>
          <w:bCs/>
          <w:sz w:val="20"/>
          <w:szCs w:val="20"/>
        </w:rPr>
        <w:t xml:space="preserve">. If you have an emergency situation requiring the attention of the Court, </w:t>
      </w:r>
      <w:r w:rsidRPr="00BE1E51">
        <w:rPr>
          <w:rFonts w:ascii="Segoe UI" w:eastAsia="Times New Roman" w:hAnsi="Segoe UI" w:cs="Segoe UI"/>
          <w:sz w:val="20"/>
          <w:szCs w:val="20"/>
        </w:rPr>
        <w:t xml:space="preserve">a hearing request may be made in writing. </w:t>
      </w:r>
      <w:r w:rsidRPr="00BE1E51">
        <w:rPr>
          <w:rFonts w:ascii="Segoe UI" w:hAnsi="Segoe UI" w:cs="Segoe UI"/>
          <w:bCs/>
          <w:sz w:val="20"/>
          <w:szCs w:val="20"/>
        </w:rPr>
        <w:t>I</w:t>
      </w:r>
      <w:r w:rsidRPr="00BE1E51">
        <w:rPr>
          <w:rFonts w:ascii="Segoe UI" w:hAnsi="Segoe UI" w:cs="Segoe UI"/>
          <w:sz w:val="20"/>
          <w:szCs w:val="20"/>
        </w:rPr>
        <w:t xml:space="preserve">f you have a court case scheduled at any Ramsey County District Court location between March 23, 2020 and April 22, 2020 and you are unable to discern whether your case will be heard or will be scheduled to a future date, </w:t>
      </w:r>
      <w:r w:rsidRPr="00BE1E51">
        <w:rPr>
          <w:rFonts w:ascii="Segoe UI" w:hAnsi="Segoe UI" w:cs="Segoe UI"/>
          <w:b/>
          <w:sz w:val="20"/>
          <w:szCs w:val="20"/>
        </w:rPr>
        <w:t>please call</w:t>
      </w:r>
      <w:r w:rsidRPr="00BE1E51">
        <w:rPr>
          <w:rFonts w:ascii="Segoe UI" w:hAnsi="Segoe UI" w:cs="Segoe UI"/>
          <w:sz w:val="20"/>
          <w:szCs w:val="20"/>
        </w:rPr>
        <w:t xml:space="preserve"> </w:t>
      </w:r>
      <w:r w:rsidRPr="00BE1E51">
        <w:rPr>
          <w:rStyle w:val="Strong"/>
          <w:rFonts w:ascii="Segoe UI" w:hAnsi="Segoe UI" w:cs="Segoe UI"/>
          <w:sz w:val="20"/>
          <w:szCs w:val="20"/>
        </w:rPr>
        <w:t>(651) 266-8266</w:t>
      </w:r>
      <w:r w:rsidRPr="00BE1E51">
        <w:rPr>
          <w:rFonts w:ascii="Segoe UI" w:hAnsi="Segoe UI" w:cs="Segoe UI"/>
          <w:sz w:val="20"/>
          <w:szCs w:val="20"/>
        </w:rPr>
        <w:t xml:space="preserve">. </w:t>
      </w:r>
    </w:p>
    <w:p w:rsidR="00D14CD7" w:rsidRPr="00BE1E51" w:rsidRDefault="00D14CD7" w:rsidP="00D14CD7">
      <w:pPr>
        <w:spacing w:line="240" w:lineRule="auto"/>
        <w:jc w:val="both"/>
        <w:rPr>
          <w:rFonts w:ascii="Segoe UI" w:eastAsia="Times New Roman" w:hAnsi="Segoe UI" w:cs="Segoe UI"/>
          <w:sz w:val="20"/>
          <w:szCs w:val="20"/>
        </w:rPr>
      </w:pPr>
    </w:p>
    <w:p w:rsidR="00D14CD7" w:rsidRPr="00BE1E51" w:rsidRDefault="00D14CD7" w:rsidP="00D14CD7">
      <w:pPr>
        <w:spacing w:line="240" w:lineRule="auto"/>
        <w:jc w:val="both"/>
        <w:rPr>
          <w:rFonts w:ascii="Segoe UI" w:hAnsi="Segoe UI" w:cs="Segoe UI"/>
          <w:b/>
          <w:sz w:val="20"/>
          <w:szCs w:val="20"/>
        </w:rPr>
      </w:pPr>
      <w:r w:rsidRPr="00BE1E51">
        <w:rPr>
          <w:rFonts w:ascii="Segoe UI" w:hAnsi="Segoe UI" w:cs="Segoe UI"/>
          <w:b/>
          <w:sz w:val="20"/>
          <w:szCs w:val="20"/>
        </w:rPr>
        <w:t xml:space="preserve">*Attorneys have been asking whether lower priority case types can be addressed during the emergency. </w:t>
      </w:r>
      <w:r w:rsidRPr="00BE1E51">
        <w:rPr>
          <w:rFonts w:ascii="Segoe UI" w:hAnsi="Segoe UI" w:cs="Segoe UI"/>
          <w:b/>
          <w:bCs/>
          <w:sz w:val="20"/>
          <w:szCs w:val="20"/>
        </w:rPr>
        <w:t>A</w:t>
      </w:r>
      <w:r w:rsidRPr="00BE1E51">
        <w:rPr>
          <w:rFonts w:ascii="Segoe UI" w:hAnsi="Segoe UI" w:cs="Segoe UI"/>
          <w:b/>
          <w:sz w:val="20"/>
          <w:szCs w:val="20"/>
        </w:rPr>
        <w:t xml:space="preserve">dministrative Order </w:t>
      </w:r>
      <w:r w:rsidRPr="00BE1E51">
        <w:rPr>
          <w:rFonts w:ascii="Segoe UI" w:hAnsi="Segoe UI" w:cs="Segoe UI"/>
          <w:b/>
          <w:color w:val="010101"/>
          <w:w w:val="105"/>
          <w:sz w:val="20"/>
          <w:szCs w:val="20"/>
        </w:rPr>
        <w:t xml:space="preserve">ADM20-8001 authorizes </w:t>
      </w:r>
      <w:r w:rsidRPr="00BE1E51">
        <w:rPr>
          <w:rFonts w:ascii="Segoe UI" w:hAnsi="Segoe UI" w:cs="Segoe UI"/>
          <w:b/>
          <w:sz w:val="20"/>
          <w:szCs w:val="20"/>
        </w:rPr>
        <w:t>proceeding</w:t>
      </w:r>
      <w:r w:rsidR="00847A84" w:rsidRPr="00BE1E51">
        <w:rPr>
          <w:rFonts w:ascii="Segoe UI" w:hAnsi="Segoe UI" w:cs="Segoe UI"/>
          <w:b/>
          <w:sz w:val="20"/>
          <w:szCs w:val="20"/>
        </w:rPr>
        <w:t>s</w:t>
      </w:r>
      <w:r w:rsidRPr="00BE1E51">
        <w:rPr>
          <w:rFonts w:ascii="Segoe UI" w:hAnsi="Segoe UI" w:cs="Segoe UI"/>
          <w:b/>
          <w:sz w:val="20"/>
          <w:szCs w:val="20"/>
        </w:rPr>
        <w:t xml:space="preserve"> in all other case types provided they are held by ITV or any other remote technology that permits the parties and attorneys to appear without being in the courtroom, or by review of the parties’ submissions without oral argument, </w:t>
      </w:r>
      <w:r w:rsidRPr="00BE1E51">
        <w:rPr>
          <w:rFonts w:ascii="Segoe UI" w:hAnsi="Segoe UI" w:cs="Segoe UI"/>
          <w:b/>
          <w:sz w:val="20"/>
          <w:szCs w:val="20"/>
          <w:u w:val="single"/>
        </w:rPr>
        <w:t>to the extent feasible and practicable.</w:t>
      </w:r>
      <w:r w:rsidRPr="00BE1E51">
        <w:rPr>
          <w:rFonts w:ascii="Segoe UI" w:hAnsi="Segoe UI" w:cs="Segoe UI"/>
          <w:b/>
          <w:sz w:val="20"/>
          <w:szCs w:val="20"/>
        </w:rPr>
        <w:t xml:space="preserve"> To that end, the Second Judicial District is currently evaluating its remote technology capabilities and will provide additional information by March 27</w:t>
      </w:r>
      <w:r w:rsidRPr="00BE1E51">
        <w:rPr>
          <w:rFonts w:ascii="Segoe UI" w:hAnsi="Segoe UI" w:cs="Segoe UI"/>
          <w:b/>
          <w:sz w:val="20"/>
          <w:szCs w:val="20"/>
          <w:vertAlign w:val="superscript"/>
        </w:rPr>
        <w:t xml:space="preserve">, </w:t>
      </w:r>
      <w:r w:rsidRPr="00BE1E51">
        <w:rPr>
          <w:rFonts w:ascii="Segoe UI" w:hAnsi="Segoe UI" w:cs="Segoe UI"/>
          <w:b/>
          <w:sz w:val="20"/>
          <w:szCs w:val="20"/>
        </w:rPr>
        <w:t xml:space="preserve">2020 regarding other proceedings that may be held remotely. </w:t>
      </w:r>
    </w:p>
    <w:p w:rsidR="00D14CD7" w:rsidRPr="00BE1E51" w:rsidRDefault="00D14CD7" w:rsidP="00D14CD7">
      <w:pPr>
        <w:widowControl w:val="0"/>
        <w:tabs>
          <w:tab w:val="left" w:pos="1490"/>
        </w:tabs>
        <w:autoSpaceDE w:val="0"/>
        <w:autoSpaceDN w:val="0"/>
        <w:spacing w:before="4" w:line="240" w:lineRule="auto"/>
        <w:ind w:right="106"/>
        <w:jc w:val="both"/>
        <w:rPr>
          <w:rFonts w:ascii="Segoe UI" w:hAnsi="Segoe UI" w:cs="Segoe UI"/>
          <w:sz w:val="20"/>
          <w:szCs w:val="20"/>
        </w:rPr>
      </w:pPr>
    </w:p>
    <w:p w:rsidR="00D14CD7" w:rsidRPr="00BE1E51" w:rsidRDefault="00D14CD7" w:rsidP="00D14CD7">
      <w:pPr>
        <w:spacing w:line="240" w:lineRule="auto"/>
        <w:jc w:val="both"/>
        <w:rPr>
          <w:rFonts w:ascii="Segoe UI" w:hAnsi="Segoe UI" w:cs="Segoe UI"/>
          <w:sz w:val="20"/>
          <w:szCs w:val="20"/>
        </w:rPr>
      </w:pPr>
      <w:r w:rsidRPr="00BE1E51">
        <w:rPr>
          <w:rFonts w:ascii="Segoe UI" w:hAnsi="Segoe UI" w:cs="Segoe UI"/>
          <w:sz w:val="20"/>
          <w:szCs w:val="20"/>
        </w:rPr>
        <w:t>The Minnesota Judicial Branch continues to monitor the most current statements and recommendations regarding COVID-19 in Minnesota. The Branch is coordinating closely with statewide partners, including the Minnesota Department of Health (MDH). The Branch will be following MDH recommendations as the situation evolves. Therefore, anyone who plans to or is required to go to a courthouse will be asked to</w:t>
      </w:r>
      <w:r w:rsidR="000774B6" w:rsidRPr="00BE1E51">
        <w:rPr>
          <w:rFonts w:ascii="Segoe UI" w:hAnsi="Segoe UI" w:cs="Segoe UI"/>
          <w:sz w:val="20"/>
          <w:szCs w:val="20"/>
        </w:rPr>
        <w:t xml:space="preserve"> </w:t>
      </w:r>
      <w:r w:rsidRPr="00BE1E51">
        <w:rPr>
          <w:rFonts w:ascii="Segoe UI" w:hAnsi="Segoe UI" w:cs="Segoe UI"/>
          <w:sz w:val="20"/>
          <w:szCs w:val="20"/>
        </w:rPr>
        <w:t>follow all necessary precautions to prevent spread. When measures are implemented, they will be posted at </w:t>
      </w:r>
      <w:hyperlink r:id="rId13" w:history="1">
        <w:r w:rsidRPr="00BE1E51">
          <w:rPr>
            <w:rStyle w:val="Hyperlink"/>
            <w:rFonts w:ascii="Segoe UI" w:hAnsi="Segoe UI" w:cs="Segoe UI"/>
            <w:sz w:val="20"/>
            <w:szCs w:val="20"/>
          </w:rPr>
          <w:t>http://mncourts.gov/emergency</w:t>
        </w:r>
      </w:hyperlink>
    </w:p>
    <w:p w:rsidR="00B8697B" w:rsidRPr="008748F8" w:rsidRDefault="00B8697B" w:rsidP="00D14CD7">
      <w:pPr>
        <w:rPr>
          <w:sz w:val="20"/>
          <w:szCs w:val="20"/>
        </w:rPr>
      </w:pPr>
    </w:p>
    <w:sectPr w:rsidR="00B8697B" w:rsidRPr="008748F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4CB" w:rsidRDefault="00F314CB" w:rsidP="00AE1AF1">
      <w:pPr>
        <w:spacing w:line="240" w:lineRule="auto"/>
      </w:pPr>
      <w:r>
        <w:separator/>
      </w:r>
    </w:p>
  </w:endnote>
  <w:endnote w:type="continuationSeparator" w:id="0">
    <w:p w:rsidR="00F314CB" w:rsidRDefault="00F314CB" w:rsidP="00AE1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670693"/>
      <w:docPartObj>
        <w:docPartGallery w:val="Page Numbers (Bottom of Page)"/>
        <w:docPartUnique/>
      </w:docPartObj>
    </w:sdtPr>
    <w:sdtEndPr>
      <w:rPr>
        <w:color w:val="7F7F7F" w:themeColor="background1" w:themeShade="7F"/>
        <w:spacing w:val="60"/>
      </w:rPr>
    </w:sdtEndPr>
    <w:sdtContent>
      <w:p w:rsidR="00AE1AF1" w:rsidRDefault="00AE1AF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32F51" w:rsidRPr="00332F51">
          <w:rPr>
            <w:b/>
            <w:bCs/>
            <w:noProof/>
          </w:rPr>
          <w:t>1</w:t>
        </w:r>
        <w:r>
          <w:rPr>
            <w:b/>
            <w:bCs/>
            <w:noProof/>
          </w:rPr>
          <w:fldChar w:fldCharType="end"/>
        </w:r>
        <w:r>
          <w:rPr>
            <w:b/>
            <w:bCs/>
          </w:rPr>
          <w:t xml:space="preserve"> | </w:t>
        </w:r>
        <w:r>
          <w:rPr>
            <w:color w:val="7F7F7F" w:themeColor="background1" w:themeShade="7F"/>
            <w:spacing w:val="60"/>
          </w:rPr>
          <w:t>Page</w:t>
        </w:r>
      </w:p>
    </w:sdtContent>
  </w:sdt>
  <w:p w:rsidR="00AE1AF1" w:rsidRDefault="00AE1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4CB" w:rsidRDefault="00F314CB" w:rsidP="00AE1AF1">
      <w:pPr>
        <w:spacing w:line="240" w:lineRule="auto"/>
      </w:pPr>
      <w:r>
        <w:separator/>
      </w:r>
    </w:p>
  </w:footnote>
  <w:footnote w:type="continuationSeparator" w:id="0">
    <w:p w:rsidR="00F314CB" w:rsidRDefault="00F314CB" w:rsidP="00AE1AF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9D6"/>
    <w:multiLevelType w:val="hybridMultilevel"/>
    <w:tmpl w:val="535A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46696"/>
    <w:multiLevelType w:val="hybridMultilevel"/>
    <w:tmpl w:val="BFE684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821B2D"/>
    <w:multiLevelType w:val="hybridMultilevel"/>
    <w:tmpl w:val="5A54E1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4D7793"/>
    <w:multiLevelType w:val="hybridMultilevel"/>
    <w:tmpl w:val="4A5C1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C86D61"/>
    <w:multiLevelType w:val="hybridMultilevel"/>
    <w:tmpl w:val="55D2F3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D470A4D"/>
    <w:multiLevelType w:val="hybridMultilevel"/>
    <w:tmpl w:val="D9BE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F52C0"/>
    <w:multiLevelType w:val="hybridMultilevel"/>
    <w:tmpl w:val="53DCA1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3BA0ABC"/>
    <w:multiLevelType w:val="hybridMultilevel"/>
    <w:tmpl w:val="0A40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D5BD7"/>
    <w:multiLevelType w:val="hybridMultilevel"/>
    <w:tmpl w:val="176A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76C23"/>
    <w:multiLevelType w:val="hybridMultilevel"/>
    <w:tmpl w:val="74D2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5"/>
  </w:num>
  <w:num w:numId="6">
    <w:abstractNumId w:val="8"/>
  </w:num>
  <w:num w:numId="7">
    <w:abstractNumId w:val="2"/>
  </w:num>
  <w:num w:numId="8">
    <w:abstractNumId w:val="1"/>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7B"/>
    <w:rsid w:val="00011D47"/>
    <w:rsid w:val="00050841"/>
    <w:rsid w:val="000560A5"/>
    <w:rsid w:val="000774B6"/>
    <w:rsid w:val="000C6ED8"/>
    <w:rsid w:val="000D1241"/>
    <w:rsid w:val="00162256"/>
    <w:rsid w:val="001C77DF"/>
    <w:rsid w:val="001E2180"/>
    <w:rsid w:val="001E6019"/>
    <w:rsid w:val="0028542B"/>
    <w:rsid w:val="002D74A9"/>
    <w:rsid w:val="00332F51"/>
    <w:rsid w:val="00360BBF"/>
    <w:rsid w:val="003E5AC0"/>
    <w:rsid w:val="00423057"/>
    <w:rsid w:val="004308B3"/>
    <w:rsid w:val="004A08FF"/>
    <w:rsid w:val="004C0CC8"/>
    <w:rsid w:val="0058587C"/>
    <w:rsid w:val="005E67C3"/>
    <w:rsid w:val="005F1493"/>
    <w:rsid w:val="00616CE9"/>
    <w:rsid w:val="00635B56"/>
    <w:rsid w:val="00640F10"/>
    <w:rsid w:val="0077790A"/>
    <w:rsid w:val="00780773"/>
    <w:rsid w:val="00783385"/>
    <w:rsid w:val="007C6C48"/>
    <w:rsid w:val="007D51CF"/>
    <w:rsid w:val="007F2790"/>
    <w:rsid w:val="00847A84"/>
    <w:rsid w:val="008748F8"/>
    <w:rsid w:val="008C1B30"/>
    <w:rsid w:val="008D7EA3"/>
    <w:rsid w:val="00965A63"/>
    <w:rsid w:val="0097432A"/>
    <w:rsid w:val="009804E5"/>
    <w:rsid w:val="00A15500"/>
    <w:rsid w:val="00AA5C74"/>
    <w:rsid w:val="00AE1AF1"/>
    <w:rsid w:val="00B0226D"/>
    <w:rsid w:val="00B41F8E"/>
    <w:rsid w:val="00B5334B"/>
    <w:rsid w:val="00B716E2"/>
    <w:rsid w:val="00B8697B"/>
    <w:rsid w:val="00BB5EB5"/>
    <w:rsid w:val="00BC09D8"/>
    <w:rsid w:val="00BE1E51"/>
    <w:rsid w:val="00BF0010"/>
    <w:rsid w:val="00C4398C"/>
    <w:rsid w:val="00CE1F76"/>
    <w:rsid w:val="00CE45D2"/>
    <w:rsid w:val="00D14CD7"/>
    <w:rsid w:val="00D87D0C"/>
    <w:rsid w:val="00D97E43"/>
    <w:rsid w:val="00EC4CBF"/>
    <w:rsid w:val="00EC5E95"/>
    <w:rsid w:val="00F02503"/>
    <w:rsid w:val="00F314CB"/>
    <w:rsid w:val="00FB1AB5"/>
    <w:rsid w:val="00FC1240"/>
    <w:rsid w:val="00FE3D7D"/>
    <w:rsid w:val="00FF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AF65AE-DDDC-4A3A-91B1-3DB30CFE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line="7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8697B"/>
    <w:pPr>
      <w:ind w:left="720"/>
      <w:contextualSpacing/>
    </w:pPr>
  </w:style>
  <w:style w:type="character" w:styleId="Strong">
    <w:name w:val="Strong"/>
    <w:basedOn w:val="DefaultParagraphFont"/>
    <w:uiPriority w:val="22"/>
    <w:qFormat/>
    <w:rsid w:val="00B8697B"/>
    <w:rPr>
      <w:b/>
      <w:bCs/>
    </w:rPr>
  </w:style>
  <w:style w:type="character" w:styleId="Hyperlink">
    <w:name w:val="Hyperlink"/>
    <w:basedOn w:val="DefaultParagraphFont"/>
    <w:uiPriority w:val="99"/>
    <w:unhideWhenUsed/>
    <w:rsid w:val="00B8697B"/>
    <w:rPr>
      <w:b/>
      <w:bCs/>
      <w:strike w:val="0"/>
      <w:dstrike w:val="0"/>
      <w:color w:val="9F6D10"/>
      <w:u w:val="none"/>
      <w:effect w:val="none"/>
    </w:rPr>
  </w:style>
  <w:style w:type="paragraph" w:styleId="Header">
    <w:name w:val="header"/>
    <w:basedOn w:val="Normal"/>
    <w:link w:val="HeaderChar"/>
    <w:uiPriority w:val="99"/>
    <w:unhideWhenUsed/>
    <w:rsid w:val="00AE1AF1"/>
    <w:pPr>
      <w:tabs>
        <w:tab w:val="center" w:pos="4680"/>
        <w:tab w:val="right" w:pos="9360"/>
      </w:tabs>
      <w:spacing w:line="240" w:lineRule="auto"/>
    </w:pPr>
  </w:style>
  <w:style w:type="character" w:customStyle="1" w:styleId="HeaderChar">
    <w:name w:val="Header Char"/>
    <w:basedOn w:val="DefaultParagraphFont"/>
    <w:link w:val="Header"/>
    <w:uiPriority w:val="99"/>
    <w:rsid w:val="00AE1AF1"/>
  </w:style>
  <w:style w:type="paragraph" w:styleId="Footer">
    <w:name w:val="footer"/>
    <w:basedOn w:val="Normal"/>
    <w:link w:val="FooterChar"/>
    <w:uiPriority w:val="99"/>
    <w:unhideWhenUsed/>
    <w:rsid w:val="00AE1AF1"/>
    <w:pPr>
      <w:tabs>
        <w:tab w:val="center" w:pos="4680"/>
        <w:tab w:val="right" w:pos="9360"/>
      </w:tabs>
      <w:spacing w:line="240" w:lineRule="auto"/>
    </w:pPr>
  </w:style>
  <w:style w:type="character" w:customStyle="1" w:styleId="FooterChar">
    <w:name w:val="Footer Char"/>
    <w:basedOn w:val="DefaultParagraphFont"/>
    <w:link w:val="Footer"/>
    <w:uiPriority w:val="99"/>
    <w:rsid w:val="00AE1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gov/governor/assets/EO%2020-01_tcm1055-422957.pdf" TargetMode="External"/><Relationship Id="rId13" Type="http://schemas.openxmlformats.org/officeDocument/2006/relationships/hyperlink" Target="http://mncourts.gov/emergenc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ncourts.gov/mncourtsgov/media/CIOMediaLibrary/News%20and%20Public%20Notices/Orders/Order-Continuing-Operations-of-the-Courts-of-the-State-of-Minnesota-Under-a-Statewide-Peacetime-Declaration-of-Emergency.pdf" TargetMode="External"/><Relationship Id="rId4" Type="http://schemas.openxmlformats.org/officeDocument/2006/relationships/webSettings" Target="webSettings.xml"/><Relationship Id="rId9" Type="http://schemas.openxmlformats.org/officeDocument/2006/relationships/hyperlink" Target="http://www.mncourts.gov/mncourtsgov/media/CIOMediaLibrary/Administrative-Order-Continuing-the-Operations-of-the-Court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Heather</dc:creator>
  <cp:keywords/>
  <dc:description/>
  <cp:lastModifiedBy>Jennifer L. Carter</cp:lastModifiedBy>
  <cp:revision>2</cp:revision>
  <cp:lastPrinted>2020-03-24T20:38:00Z</cp:lastPrinted>
  <dcterms:created xsi:type="dcterms:W3CDTF">2020-03-24T21:19:00Z</dcterms:created>
  <dcterms:modified xsi:type="dcterms:W3CDTF">2020-03-24T21:19:00Z</dcterms:modified>
</cp:coreProperties>
</file>