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C45B0" w14:textId="77777777" w:rsidR="0014513C" w:rsidRDefault="00705511">
      <w:pPr>
        <w:jc w:val="center"/>
        <w:rPr>
          <w:rFonts w:hint="eastAsia"/>
        </w:rPr>
      </w:pPr>
      <w:bookmarkStart w:id="0" w:name="_GoBack"/>
      <w:bookmarkEnd w:id="0"/>
      <w:r>
        <w:rPr>
          <w:rFonts w:ascii="Times New Roman" w:hAnsi="Times New Roman"/>
          <w:b/>
          <w:bCs/>
        </w:rPr>
        <w:t>Common Questions on Proposed Pro Bono</w:t>
      </w:r>
    </w:p>
    <w:p w14:paraId="747A3FAF" w14:textId="77777777" w:rsidR="0014513C" w:rsidRDefault="00705511">
      <w:pPr>
        <w:jc w:val="center"/>
        <w:rPr>
          <w:rFonts w:ascii="Times New Roman" w:hAnsi="Times New Roman"/>
          <w:b/>
          <w:bCs/>
        </w:rPr>
      </w:pPr>
      <w:r>
        <w:rPr>
          <w:rFonts w:ascii="Times New Roman" w:hAnsi="Times New Roman"/>
          <w:b/>
          <w:bCs/>
        </w:rPr>
        <w:t xml:space="preserve"> and Financial Contributions Reporting Rule</w:t>
      </w:r>
    </w:p>
    <w:p w14:paraId="10476F28" w14:textId="1096B227" w:rsidR="00D37FD0" w:rsidRPr="00D37FD0" w:rsidRDefault="00D37FD0">
      <w:pPr>
        <w:jc w:val="center"/>
        <w:rPr>
          <w:rFonts w:ascii="Times New Roman" w:hAnsi="Times New Roman"/>
          <w:bCs/>
          <w:u w:val="single"/>
        </w:rPr>
      </w:pPr>
      <w:r>
        <w:rPr>
          <w:rFonts w:ascii="Times New Roman" w:hAnsi="Times New Roman"/>
          <w:bCs/>
          <w:u w:val="single"/>
        </w:rPr>
        <w:t>Updated – 2/20/20</w:t>
      </w:r>
    </w:p>
    <w:p w14:paraId="10EA191C" w14:textId="77777777" w:rsidR="0014513C" w:rsidRDefault="0014513C">
      <w:pPr>
        <w:rPr>
          <w:rFonts w:ascii="Times New Roman" w:hAnsi="Times New Roman"/>
          <w:b/>
          <w:bCs/>
        </w:rPr>
      </w:pPr>
    </w:p>
    <w:p w14:paraId="4EDD07AA" w14:textId="77777777" w:rsidR="003C3C50" w:rsidRDefault="003C3C50">
      <w:pPr>
        <w:rPr>
          <w:rFonts w:ascii="Times New Roman" w:hAnsi="Times New Roman"/>
          <w:b/>
          <w:bCs/>
        </w:rPr>
      </w:pPr>
    </w:p>
    <w:p w14:paraId="7FD1F673" w14:textId="038FD3AD" w:rsidR="0014513C" w:rsidRPr="00E37178" w:rsidRDefault="00705511" w:rsidP="00E37178">
      <w:pPr>
        <w:rPr>
          <w:rFonts w:hint="eastAsia"/>
          <w:b/>
        </w:rPr>
      </w:pPr>
      <w:r>
        <w:rPr>
          <w:rFonts w:ascii="Times New Roman" w:hAnsi="Times New Roman"/>
          <w:b/>
          <w:bCs/>
        </w:rPr>
        <w:t xml:space="preserve">1.  </w:t>
      </w:r>
      <w:r w:rsidRPr="00E37178">
        <w:rPr>
          <w:rFonts w:ascii="Times New Roman" w:hAnsi="Times New Roman"/>
          <w:b/>
        </w:rPr>
        <w:t xml:space="preserve">What will the </w:t>
      </w:r>
      <w:r>
        <w:rPr>
          <w:rFonts w:ascii="Times New Roman" w:hAnsi="Times New Roman"/>
          <w:b/>
          <w:bCs/>
        </w:rPr>
        <w:t>rule</w:t>
      </w:r>
      <w:r w:rsidRPr="00E37178">
        <w:rPr>
          <w:rFonts w:ascii="Times New Roman" w:hAnsi="Times New Roman"/>
          <w:b/>
        </w:rPr>
        <w:t xml:space="preserve"> require?</w:t>
      </w:r>
    </w:p>
    <w:p w14:paraId="34E88B38" w14:textId="77777777" w:rsidR="0014513C" w:rsidRPr="00E37178" w:rsidRDefault="0014513C" w:rsidP="00E37178">
      <w:pPr>
        <w:rPr>
          <w:rFonts w:hint="eastAsia"/>
        </w:rPr>
      </w:pPr>
    </w:p>
    <w:p w14:paraId="6104256D" w14:textId="77777777" w:rsidR="00D51615" w:rsidRDefault="00705511" w:rsidP="00781978">
      <w:pPr>
        <w:rPr>
          <w:rFonts w:ascii="Times New Roman" w:hAnsi="Times New Roman"/>
        </w:rPr>
      </w:pPr>
      <w:r>
        <w:t>The</w:t>
      </w:r>
      <w:r w:rsidRPr="00781978">
        <w:t xml:space="preserve"> proposed rule requires </w:t>
      </w:r>
      <w:r>
        <w:t xml:space="preserve">all attorneys </w:t>
      </w:r>
      <w:r w:rsidRPr="00781978">
        <w:t xml:space="preserve">who </w:t>
      </w:r>
      <w:r w:rsidR="00781978" w:rsidRPr="00781978">
        <w:t>are authorized</w:t>
      </w:r>
      <w:r w:rsidR="00781978">
        <w:rPr>
          <w:b/>
        </w:rPr>
        <w:t xml:space="preserve"> </w:t>
      </w:r>
      <w:r w:rsidRPr="00781978">
        <w:t xml:space="preserve">to practice law in Minnesota to report </w:t>
      </w:r>
      <w:r w:rsidR="00781978">
        <w:t xml:space="preserve">as part of </w:t>
      </w:r>
      <w:r>
        <w:t xml:space="preserve">their annual attorney registration </w:t>
      </w:r>
      <w:r w:rsidR="00781978">
        <w:t>t</w:t>
      </w:r>
      <w:r w:rsidRPr="00781978">
        <w:t xml:space="preserve">he number of hours of </w:t>
      </w:r>
      <w:r w:rsidR="00781978" w:rsidRPr="00781978">
        <w:t>pro bono</w:t>
      </w:r>
      <w:r w:rsidRPr="00781978">
        <w:t xml:space="preserve"> legal </w:t>
      </w:r>
      <w:r>
        <w:t>services they</w:t>
      </w:r>
      <w:r w:rsidRPr="00781978">
        <w:t xml:space="preserve"> provided </w:t>
      </w:r>
      <w:r>
        <w:t xml:space="preserve">and whether or not they contributed financially to </w:t>
      </w:r>
      <w:r w:rsidR="00781978">
        <w:t>free</w:t>
      </w:r>
      <w:r w:rsidR="00D51615">
        <w:t xml:space="preserve"> legal services to persons of limited means</w:t>
      </w:r>
      <w:r>
        <w:rPr>
          <w:rFonts w:ascii="Times New Roman" w:hAnsi="Times New Roman"/>
        </w:rPr>
        <w:t xml:space="preserve">.  </w:t>
      </w:r>
    </w:p>
    <w:p w14:paraId="5831BD7B" w14:textId="25A5B457" w:rsidR="0014513C" w:rsidRPr="00781978" w:rsidRDefault="00705511" w:rsidP="00D51615">
      <w:pPr>
        <w:pStyle w:val="ListParagraph"/>
        <w:numPr>
          <w:ilvl w:val="0"/>
          <w:numId w:val="26"/>
        </w:numPr>
        <w:rPr>
          <w:rFonts w:hint="eastAsia"/>
        </w:rPr>
      </w:pPr>
      <w:r w:rsidRPr="00781978">
        <w:t xml:space="preserve">This </w:t>
      </w:r>
      <w:r w:rsidR="00781978">
        <w:t xml:space="preserve">is </w:t>
      </w:r>
      <w:r w:rsidR="00AB1D3B" w:rsidRPr="00C91294">
        <w:t>mandatory</w:t>
      </w:r>
      <w:r w:rsidR="00AB1D3B">
        <w:t xml:space="preserve"> </w:t>
      </w:r>
      <w:r w:rsidRPr="00781978">
        <w:t>reporting</w:t>
      </w:r>
      <w:r w:rsidR="00AB1D3B">
        <w:t xml:space="preserve">, </w:t>
      </w:r>
      <w:r w:rsidR="00AB1D3B" w:rsidRPr="00D51615">
        <w:rPr>
          <w:b/>
          <w:i/>
        </w:rPr>
        <w:t>not</w:t>
      </w:r>
      <w:r w:rsidR="00AB1D3B">
        <w:t xml:space="preserve"> mandatory pro bono service.  </w:t>
      </w:r>
      <w:r w:rsidR="00781978">
        <w:t>T</w:t>
      </w:r>
      <w:r w:rsidR="00AB1D3B">
        <w:t xml:space="preserve">he Committee proposing this rule </w:t>
      </w:r>
      <w:r w:rsidR="00781978">
        <w:t xml:space="preserve">does not </w:t>
      </w:r>
      <w:r w:rsidR="00AB1D3B">
        <w:t xml:space="preserve">believe mandatory pro bono service is a good idea.  </w:t>
      </w:r>
    </w:p>
    <w:p w14:paraId="17B87157" w14:textId="77777777" w:rsidR="0014513C" w:rsidRPr="00E37178" w:rsidRDefault="0014513C">
      <w:pPr>
        <w:rPr>
          <w:rFonts w:ascii="Times New Roman" w:hAnsi="Times New Roman"/>
        </w:rPr>
      </w:pPr>
    </w:p>
    <w:p w14:paraId="19E0E655" w14:textId="77777777" w:rsidR="0014513C" w:rsidRDefault="00705511">
      <w:pPr>
        <w:rPr>
          <w:rFonts w:ascii="Times New Roman" w:hAnsi="Times New Roman"/>
          <w:b/>
          <w:bCs/>
        </w:rPr>
      </w:pPr>
      <w:r>
        <w:rPr>
          <w:rFonts w:ascii="Times New Roman" w:hAnsi="Times New Roman"/>
          <w:b/>
          <w:bCs/>
        </w:rPr>
        <w:t>2.  How should attorneys report this information?</w:t>
      </w:r>
    </w:p>
    <w:p w14:paraId="63F1088B" w14:textId="77777777" w:rsidR="0014513C" w:rsidRDefault="0014513C">
      <w:pPr>
        <w:rPr>
          <w:rFonts w:ascii="Times New Roman" w:hAnsi="Times New Roman"/>
          <w:b/>
          <w:bCs/>
        </w:rPr>
      </w:pPr>
    </w:p>
    <w:p w14:paraId="30E1A925" w14:textId="780B8E4B" w:rsidR="0014513C" w:rsidRDefault="00705511">
      <w:pPr>
        <w:rPr>
          <w:rFonts w:hint="eastAsia"/>
        </w:rPr>
      </w:pPr>
      <w:r>
        <w:rPr>
          <w:rFonts w:ascii="Times New Roman" w:hAnsi="Times New Roman"/>
        </w:rPr>
        <w:t xml:space="preserve">Under this proposed rule, attorneys </w:t>
      </w:r>
      <w:r w:rsidRPr="00781978">
        <w:rPr>
          <w:rFonts w:ascii="Times New Roman" w:hAnsi="Times New Roman"/>
          <w:bCs/>
          <w:u w:val="single"/>
        </w:rPr>
        <w:t>must</w:t>
      </w:r>
      <w:r>
        <w:rPr>
          <w:rFonts w:ascii="Times New Roman" w:hAnsi="Times New Roman"/>
          <w:b/>
          <w:bCs/>
          <w:u w:val="single"/>
        </w:rPr>
        <w:t xml:space="preserve"> </w:t>
      </w:r>
      <w:r>
        <w:rPr>
          <w:rFonts w:ascii="Times New Roman" w:hAnsi="Times New Roman"/>
        </w:rPr>
        <w:t xml:space="preserve">complete two additional questions </w:t>
      </w:r>
      <w:r w:rsidR="00781978">
        <w:rPr>
          <w:rFonts w:ascii="Times New Roman" w:hAnsi="Times New Roman"/>
        </w:rPr>
        <w:t>during</w:t>
      </w:r>
      <w:r>
        <w:rPr>
          <w:rFonts w:ascii="Times New Roman" w:hAnsi="Times New Roman"/>
        </w:rPr>
        <w:t xml:space="preserve"> their annual</w:t>
      </w:r>
      <w:r w:rsidR="003C3C50">
        <w:rPr>
          <w:rFonts w:ascii="Times New Roman" w:hAnsi="Times New Roman"/>
        </w:rPr>
        <w:t xml:space="preserve"> renewal</w:t>
      </w:r>
      <w:r>
        <w:rPr>
          <w:rFonts w:ascii="Times New Roman" w:hAnsi="Times New Roman"/>
        </w:rPr>
        <w:t xml:space="preserve"> by entering: (1) the approximate number of </w:t>
      </w:r>
      <w:r w:rsidR="00781978">
        <w:rPr>
          <w:rFonts w:ascii="Times New Roman" w:hAnsi="Times New Roman"/>
        </w:rPr>
        <w:t>pro bono</w:t>
      </w:r>
      <w:r>
        <w:rPr>
          <w:rFonts w:ascii="Times New Roman" w:hAnsi="Times New Roman"/>
        </w:rPr>
        <w:t xml:space="preserve"> hours provided during the previous calendar year, and (2) checking </w:t>
      </w:r>
      <w:r w:rsidR="008D0888">
        <w:rPr>
          <w:rFonts w:ascii="Times New Roman" w:hAnsi="Times New Roman"/>
        </w:rPr>
        <w:t>a box to indicate whether they made a financial contribution to any legal aid organization in the previous calendar year</w:t>
      </w:r>
      <w:r>
        <w:rPr>
          <w:rFonts w:ascii="Times New Roman" w:hAnsi="Times New Roman"/>
        </w:rPr>
        <w:t xml:space="preserve">.  Attorneys may </w:t>
      </w:r>
      <w:r w:rsidR="00996809">
        <w:rPr>
          <w:rFonts w:ascii="Times New Roman" w:hAnsi="Times New Roman"/>
        </w:rPr>
        <w:t xml:space="preserve">answer </w:t>
      </w:r>
      <w:r>
        <w:rPr>
          <w:rFonts w:ascii="Times New Roman" w:hAnsi="Times New Roman"/>
          <w:b/>
          <w:bCs/>
        </w:rPr>
        <w:t xml:space="preserve">0 </w:t>
      </w:r>
      <w:r>
        <w:rPr>
          <w:rFonts w:ascii="Times New Roman" w:hAnsi="Times New Roman"/>
        </w:rPr>
        <w:t xml:space="preserve">and </w:t>
      </w:r>
      <w:r>
        <w:rPr>
          <w:rFonts w:ascii="Times New Roman" w:hAnsi="Times New Roman"/>
          <w:b/>
          <w:bCs/>
        </w:rPr>
        <w:t xml:space="preserve">No </w:t>
      </w:r>
      <w:r>
        <w:rPr>
          <w:rFonts w:ascii="Times New Roman" w:hAnsi="Times New Roman"/>
        </w:rPr>
        <w:t>to the questions.  There is no adverse consequences or penalties based on what attorneys report.</w:t>
      </w:r>
      <w:r w:rsidR="00781978">
        <w:rPr>
          <w:rFonts w:ascii="Times New Roman" w:hAnsi="Times New Roman"/>
        </w:rPr>
        <w:t xml:space="preserve">  </w:t>
      </w:r>
      <w:r>
        <w:rPr>
          <w:rFonts w:ascii="Times New Roman" w:hAnsi="Times New Roman"/>
        </w:rPr>
        <w:t xml:space="preserve">The information provided will not be available to the public or for use in any disciplinary proceeding.  </w:t>
      </w:r>
    </w:p>
    <w:p w14:paraId="3A24E6F4" w14:textId="77777777" w:rsidR="0014513C" w:rsidRDefault="0014513C">
      <w:pPr>
        <w:rPr>
          <w:rFonts w:ascii="Times New Roman" w:hAnsi="Times New Roman"/>
        </w:rPr>
      </w:pPr>
    </w:p>
    <w:p w14:paraId="34BCFE2D" w14:textId="46D2EABC" w:rsidR="0014513C" w:rsidRDefault="00705511" w:rsidP="00781978">
      <w:pPr>
        <w:rPr>
          <w:rFonts w:hint="eastAsia"/>
        </w:rPr>
      </w:pPr>
      <w:r>
        <w:rPr>
          <w:rFonts w:ascii="Times New Roman" w:hAnsi="Times New Roman"/>
          <w:b/>
          <w:bCs/>
        </w:rPr>
        <w:t xml:space="preserve">3. </w:t>
      </w:r>
      <w:r w:rsidRPr="00781978">
        <w:rPr>
          <w:rFonts w:ascii="Times New Roman" w:hAnsi="Times New Roman"/>
          <w:b/>
        </w:rPr>
        <w:t xml:space="preserve"> Why is </w:t>
      </w:r>
      <w:r>
        <w:rPr>
          <w:rFonts w:ascii="Times New Roman" w:hAnsi="Times New Roman"/>
          <w:b/>
          <w:bCs/>
        </w:rPr>
        <w:t>this rule</w:t>
      </w:r>
      <w:r w:rsidRPr="00781978">
        <w:rPr>
          <w:rFonts w:ascii="Times New Roman" w:hAnsi="Times New Roman"/>
          <w:b/>
        </w:rPr>
        <w:t xml:space="preserve"> needed?</w:t>
      </w:r>
    </w:p>
    <w:p w14:paraId="516FCE87" w14:textId="77777777" w:rsidR="0014513C" w:rsidRPr="00781978" w:rsidRDefault="0014513C">
      <w:pPr>
        <w:rPr>
          <w:rFonts w:ascii="Times New Roman" w:hAnsi="Times New Roman"/>
        </w:rPr>
      </w:pPr>
    </w:p>
    <w:p w14:paraId="0C06FD6B" w14:textId="1CA8D83B" w:rsidR="0014513C" w:rsidRDefault="00D951D2">
      <w:pPr>
        <w:rPr>
          <w:rFonts w:hint="eastAsia"/>
        </w:rPr>
      </w:pPr>
      <w:r>
        <w:t>A</w:t>
      </w:r>
      <w:r w:rsidRPr="00F673E6">
        <w:t xml:space="preserve"> </w:t>
      </w:r>
      <w:r w:rsidR="00074B6E" w:rsidRPr="00F673E6">
        <w:t>widespread lack</w:t>
      </w:r>
      <w:r w:rsidR="00705511" w:rsidRPr="00781978">
        <w:t xml:space="preserve"> of access </w:t>
      </w:r>
      <w:r w:rsidR="003C3C50">
        <w:t xml:space="preserve">by low-income people </w:t>
      </w:r>
      <w:r w:rsidR="00705511" w:rsidRPr="00781978">
        <w:t xml:space="preserve">to our justice system </w:t>
      </w:r>
      <w:r w:rsidR="00427C82">
        <w:t xml:space="preserve">is </w:t>
      </w:r>
      <w:r w:rsidR="00427C82" w:rsidRPr="00781978">
        <w:t>a</w:t>
      </w:r>
      <w:r w:rsidR="00705511" w:rsidRPr="00781978">
        <w:t xml:space="preserve"> crisis</w:t>
      </w:r>
      <w:r>
        <w:t xml:space="preserve">, </w:t>
      </w:r>
      <w:r w:rsidR="00074B6E" w:rsidRPr="00F673E6">
        <w:t xml:space="preserve">not just </w:t>
      </w:r>
      <w:r w:rsidR="00705511" w:rsidRPr="00781978">
        <w:t xml:space="preserve">for our </w:t>
      </w:r>
      <w:r w:rsidR="00781978">
        <w:t xml:space="preserve">Minnesota </w:t>
      </w:r>
      <w:r w:rsidR="00074B6E" w:rsidRPr="00F673E6">
        <w:t>communit</w:t>
      </w:r>
      <w:r w:rsidR="00781978">
        <w:t>ies</w:t>
      </w:r>
      <w:r w:rsidR="00705511" w:rsidRPr="00781978">
        <w:t xml:space="preserve">, but for the legal profession and </w:t>
      </w:r>
      <w:r w:rsidR="00074B6E" w:rsidRPr="00F673E6">
        <w:t>our system of</w:t>
      </w:r>
      <w:r w:rsidR="00705511" w:rsidRPr="00781978">
        <w:t xml:space="preserve"> justice</w:t>
      </w:r>
      <w:r w:rsidR="00074B6E" w:rsidRPr="00F673E6">
        <w:t>.</w:t>
      </w:r>
      <w:r w:rsidR="004210AA">
        <w:t xml:space="preserve">  </w:t>
      </w:r>
      <w:r w:rsidR="000F1D22">
        <w:t>L</w:t>
      </w:r>
      <w:r w:rsidR="00074B6E" w:rsidRPr="00F673E6">
        <w:t>egal aid attorneys are struggling</w:t>
      </w:r>
      <w:r w:rsidR="00705511" w:rsidRPr="00781978">
        <w:t xml:space="preserve"> to meet the legal needs of low</w:t>
      </w:r>
      <w:r w:rsidR="00781978">
        <w:t>-</w:t>
      </w:r>
      <w:r w:rsidR="00705511" w:rsidRPr="00781978">
        <w:t>income Minnesotans</w:t>
      </w:r>
      <w:r w:rsidR="00074B6E" w:rsidRPr="00F673E6">
        <w:t xml:space="preserve">. </w:t>
      </w:r>
      <w:r w:rsidR="00074B6E">
        <w:t>M</w:t>
      </w:r>
      <w:r w:rsidR="00074B6E" w:rsidRPr="00F673E6">
        <w:t xml:space="preserve">any lawyers already </w:t>
      </w:r>
      <w:r w:rsidR="004210AA">
        <w:t>provide</w:t>
      </w:r>
      <w:r w:rsidR="00705511" w:rsidRPr="00781978">
        <w:t xml:space="preserve"> a </w:t>
      </w:r>
      <w:r w:rsidR="00074B6E" w:rsidRPr="00F673E6">
        <w:t xml:space="preserve">laudable amount of pro bono service, </w:t>
      </w:r>
      <w:r w:rsidR="004210AA">
        <w:t xml:space="preserve">but </w:t>
      </w:r>
      <w:r w:rsidR="00074B6E" w:rsidRPr="00F673E6">
        <w:t>much more work remains</w:t>
      </w:r>
      <w:r w:rsidR="00705511" w:rsidRPr="00781978">
        <w:t xml:space="preserve"> to </w:t>
      </w:r>
      <w:r w:rsidR="00074B6E" w:rsidRPr="00F673E6">
        <w:t>be done</w:t>
      </w:r>
      <w:r w:rsidR="004210AA">
        <w:t xml:space="preserve">.  </w:t>
      </w:r>
      <w:r w:rsidR="00781978">
        <w:rPr>
          <w:rFonts w:ascii="Times New Roman" w:hAnsi="Times New Roman"/>
        </w:rPr>
        <w:t>The</w:t>
      </w:r>
      <w:r w:rsidR="00705511">
        <w:rPr>
          <w:rFonts w:ascii="Times New Roman" w:hAnsi="Times New Roman"/>
        </w:rPr>
        <w:t xml:space="preserve"> </w:t>
      </w:r>
      <w:r w:rsidR="00705511" w:rsidRPr="00781978">
        <w:rPr>
          <w:rFonts w:ascii="Times New Roman" w:hAnsi="Times New Roman"/>
        </w:rPr>
        <w:t xml:space="preserve">proposed rule </w:t>
      </w:r>
      <w:r w:rsidR="00781978">
        <w:t>will heighten</w:t>
      </w:r>
      <w:r w:rsidR="00705511" w:rsidRPr="00781978">
        <w:rPr>
          <w:rFonts w:ascii="Times New Roman" w:hAnsi="Times New Roman"/>
        </w:rPr>
        <w:t xml:space="preserve"> awareness of </w:t>
      </w:r>
      <w:r w:rsidR="00705511">
        <w:rPr>
          <w:rFonts w:ascii="Times New Roman" w:hAnsi="Times New Roman"/>
        </w:rPr>
        <w:t>the urgent unmet legal needs of low</w:t>
      </w:r>
      <w:r w:rsidR="00781978">
        <w:rPr>
          <w:rFonts w:ascii="Times New Roman" w:hAnsi="Times New Roman"/>
        </w:rPr>
        <w:t>-</w:t>
      </w:r>
      <w:r w:rsidR="00705511">
        <w:rPr>
          <w:rFonts w:ascii="Times New Roman" w:hAnsi="Times New Roman"/>
        </w:rPr>
        <w:t xml:space="preserve">income Minnesotans and encourage more attorneys to participate in </w:t>
      </w:r>
      <w:r w:rsidR="00781978">
        <w:rPr>
          <w:rFonts w:ascii="Times New Roman" w:hAnsi="Times New Roman"/>
        </w:rPr>
        <w:t>pro bono</w:t>
      </w:r>
      <w:r w:rsidR="00705511">
        <w:rPr>
          <w:rFonts w:ascii="Times New Roman" w:hAnsi="Times New Roman"/>
        </w:rPr>
        <w:t xml:space="preserve"> services throughout the state.   In addition, </w:t>
      </w:r>
      <w:r w:rsidR="00781978">
        <w:rPr>
          <w:rFonts w:ascii="Times New Roman" w:hAnsi="Times New Roman"/>
        </w:rPr>
        <w:t>it will allow us to collect</w:t>
      </w:r>
      <w:r w:rsidR="003C3C50">
        <w:rPr>
          <w:rFonts w:ascii="Times New Roman" w:hAnsi="Times New Roman"/>
        </w:rPr>
        <w:t>,</w:t>
      </w:r>
      <w:r w:rsidR="00781978">
        <w:rPr>
          <w:rFonts w:ascii="Times New Roman" w:hAnsi="Times New Roman"/>
        </w:rPr>
        <w:t xml:space="preserve"> for the first time</w:t>
      </w:r>
      <w:r w:rsidR="003C3C50">
        <w:rPr>
          <w:rFonts w:ascii="Times New Roman" w:hAnsi="Times New Roman"/>
        </w:rPr>
        <w:t>,</w:t>
      </w:r>
      <w:r w:rsidR="00781978">
        <w:rPr>
          <w:rFonts w:ascii="Times New Roman" w:hAnsi="Times New Roman"/>
        </w:rPr>
        <w:t xml:space="preserve"> </w:t>
      </w:r>
      <w:r w:rsidR="00705511" w:rsidRPr="00781978">
        <w:rPr>
          <w:rFonts w:ascii="Times New Roman" w:hAnsi="Times New Roman"/>
        </w:rPr>
        <w:t xml:space="preserve">comprehensive data </w:t>
      </w:r>
      <w:r w:rsidR="00705511">
        <w:rPr>
          <w:rFonts w:ascii="Times New Roman" w:hAnsi="Times New Roman"/>
        </w:rPr>
        <w:t>to assist us</w:t>
      </w:r>
      <w:r w:rsidR="00705511" w:rsidRPr="00781978">
        <w:rPr>
          <w:rFonts w:ascii="Times New Roman" w:hAnsi="Times New Roman"/>
        </w:rPr>
        <w:t xml:space="preserve"> in </w:t>
      </w:r>
      <w:r w:rsidR="00705511">
        <w:rPr>
          <w:rFonts w:ascii="Times New Roman" w:hAnsi="Times New Roman"/>
        </w:rPr>
        <w:t>providing legal services to low</w:t>
      </w:r>
      <w:r w:rsidR="008D0888">
        <w:rPr>
          <w:rFonts w:ascii="Times New Roman" w:hAnsi="Times New Roman"/>
        </w:rPr>
        <w:t>-</w:t>
      </w:r>
      <w:r w:rsidR="00705511">
        <w:rPr>
          <w:rFonts w:ascii="Times New Roman" w:hAnsi="Times New Roman"/>
        </w:rPr>
        <w:t xml:space="preserve">income </w:t>
      </w:r>
      <w:r w:rsidR="00705511" w:rsidRPr="00781978">
        <w:rPr>
          <w:rFonts w:ascii="Times New Roman" w:hAnsi="Times New Roman"/>
        </w:rPr>
        <w:t>Minnesota</w:t>
      </w:r>
      <w:r w:rsidR="00705511">
        <w:rPr>
          <w:rFonts w:ascii="Times New Roman" w:hAnsi="Times New Roman"/>
        </w:rPr>
        <w:t xml:space="preserve"> residents.  </w:t>
      </w:r>
      <w:r w:rsidR="00705511" w:rsidRPr="00781978">
        <w:rPr>
          <w:rFonts w:ascii="Times New Roman" w:hAnsi="Times New Roman"/>
        </w:rPr>
        <w:t xml:space="preserve">  </w:t>
      </w:r>
    </w:p>
    <w:p w14:paraId="0334982A" w14:textId="77777777" w:rsidR="0014513C" w:rsidRPr="00781978" w:rsidRDefault="0014513C">
      <w:pPr>
        <w:rPr>
          <w:rFonts w:ascii="Times New Roman" w:hAnsi="Times New Roman"/>
        </w:rPr>
      </w:pPr>
    </w:p>
    <w:p w14:paraId="38BCD4D4" w14:textId="1B185876" w:rsidR="004210AA" w:rsidRDefault="004210AA" w:rsidP="00074B6E">
      <w:pPr>
        <w:rPr>
          <w:rFonts w:hint="eastAsia"/>
        </w:rPr>
      </w:pPr>
      <w:r>
        <w:t xml:space="preserve">The </w:t>
      </w:r>
      <w:r w:rsidR="00074B6E">
        <w:t xml:space="preserve">proposed </w:t>
      </w:r>
      <w:r w:rsidR="0028679D">
        <w:t>r</w:t>
      </w:r>
      <w:r w:rsidR="00074B6E" w:rsidRPr="00F673E6">
        <w:t>ule reflects that as lawyers we need to take the lead in that effort.</w:t>
      </w:r>
      <w:r w:rsidR="00074B6E">
        <w:t xml:space="preserve">  Adoption of the </w:t>
      </w:r>
      <w:r w:rsidR="008D0888">
        <w:t>r</w:t>
      </w:r>
      <w:r w:rsidR="00074B6E" w:rsidRPr="00074B6E">
        <w:t xml:space="preserve">ule </w:t>
      </w:r>
      <w:r w:rsidR="00074B6E">
        <w:t xml:space="preserve">would </w:t>
      </w:r>
      <w:r>
        <w:t xml:space="preserve">also </w:t>
      </w:r>
      <w:r w:rsidR="00074B6E">
        <w:t>underscore</w:t>
      </w:r>
      <w:r w:rsidR="00074B6E" w:rsidRPr="00074B6E">
        <w:t xml:space="preserve"> the Court’s commitment to ensuring equal access to our justice system and the unique ability of lawyers to turn that ideal into reality</w:t>
      </w:r>
      <w:r>
        <w:t xml:space="preserve"> through pro bono service</w:t>
      </w:r>
      <w:r w:rsidR="00074B6E" w:rsidRPr="00074B6E">
        <w:t>.</w:t>
      </w:r>
      <w:r>
        <w:t xml:space="preserve">  </w:t>
      </w:r>
    </w:p>
    <w:p w14:paraId="3BC8E2D4" w14:textId="77777777" w:rsidR="00074B6E" w:rsidRPr="00074B6E" w:rsidRDefault="00074B6E" w:rsidP="00074B6E">
      <w:pPr>
        <w:ind w:left="720"/>
        <w:rPr>
          <w:rFonts w:hint="eastAsia"/>
        </w:rPr>
      </w:pPr>
    </w:p>
    <w:p w14:paraId="24B2BE7A" w14:textId="0F6E4158" w:rsidR="00C91294" w:rsidRPr="00C91294" w:rsidRDefault="00E37178" w:rsidP="00E37178">
      <w:pPr>
        <w:rPr>
          <w:rFonts w:hint="eastAsia"/>
        </w:rPr>
      </w:pPr>
      <w:r>
        <w:rPr>
          <w:b/>
        </w:rPr>
        <w:t xml:space="preserve">4.  </w:t>
      </w:r>
      <w:r w:rsidR="001D30AE">
        <w:rPr>
          <w:b/>
        </w:rPr>
        <w:t xml:space="preserve">What if I didn’t track my pro bono hours or know the exact amount?  </w:t>
      </w:r>
    </w:p>
    <w:p w14:paraId="78421187" w14:textId="77777777" w:rsidR="00C91294" w:rsidRDefault="00C91294" w:rsidP="00C91294">
      <w:pPr>
        <w:rPr>
          <w:rFonts w:hint="eastAsia"/>
          <w:b/>
        </w:rPr>
      </w:pPr>
    </w:p>
    <w:p w14:paraId="19A765A0" w14:textId="0565A2C6" w:rsidR="001D30AE" w:rsidRPr="001D30AE" w:rsidRDefault="001D30AE" w:rsidP="00C91294">
      <w:pPr>
        <w:rPr>
          <w:rFonts w:hint="eastAsia"/>
        </w:rPr>
      </w:pPr>
      <w:r>
        <w:t xml:space="preserve">The </w:t>
      </w:r>
      <w:r w:rsidR="00DC4D2A">
        <w:t>proposed r</w:t>
      </w:r>
      <w:r>
        <w:t xml:space="preserve">ule asks attorneys to report the </w:t>
      </w:r>
      <w:r>
        <w:rPr>
          <w:i/>
        </w:rPr>
        <w:t>approximate</w:t>
      </w:r>
      <w:r>
        <w:t xml:space="preserve"> number of pro bono hours provided in the previous </w:t>
      </w:r>
      <w:r w:rsidR="008D0888">
        <w:t xml:space="preserve">calendar </w:t>
      </w:r>
      <w:r>
        <w:t xml:space="preserve">year. </w:t>
      </w:r>
    </w:p>
    <w:p w14:paraId="13BE2FC5" w14:textId="77777777" w:rsidR="0014513C" w:rsidRDefault="0014513C">
      <w:pPr>
        <w:rPr>
          <w:rFonts w:ascii="Times New Roman" w:hAnsi="Times New Roman"/>
        </w:rPr>
      </w:pPr>
    </w:p>
    <w:p w14:paraId="023B4801" w14:textId="29E6B80D" w:rsidR="0014513C" w:rsidRDefault="00E37178" w:rsidP="00B97695">
      <w:pPr>
        <w:rPr>
          <w:rFonts w:hint="eastAsia"/>
          <w:b/>
          <w:bCs/>
        </w:rPr>
      </w:pPr>
      <w:r>
        <w:rPr>
          <w:rFonts w:ascii="Times New Roman" w:hAnsi="Times New Roman"/>
          <w:b/>
          <w:bCs/>
        </w:rPr>
        <w:t>5</w:t>
      </w:r>
      <w:r w:rsidR="00705511">
        <w:rPr>
          <w:rFonts w:ascii="Times New Roman" w:hAnsi="Times New Roman"/>
          <w:b/>
          <w:bCs/>
        </w:rPr>
        <w:t xml:space="preserve">. </w:t>
      </w:r>
      <w:r w:rsidR="00705511" w:rsidRPr="00E37178">
        <w:rPr>
          <w:rFonts w:ascii="Times New Roman" w:hAnsi="Times New Roman" w:hint="eastAsia"/>
          <w:b/>
        </w:rPr>
        <w:t xml:space="preserve"> </w:t>
      </w:r>
      <w:r w:rsidR="00705511" w:rsidRPr="00B97695">
        <w:rPr>
          <w:rFonts w:ascii="Times New Roman" w:hAnsi="Times New Roman"/>
          <w:b/>
        </w:rPr>
        <w:t xml:space="preserve">Why does the proposed </w:t>
      </w:r>
      <w:r w:rsidR="008D0888">
        <w:rPr>
          <w:rFonts w:ascii="Times New Roman" w:hAnsi="Times New Roman"/>
          <w:b/>
          <w:bCs/>
        </w:rPr>
        <w:t>pro bono</w:t>
      </w:r>
      <w:r w:rsidR="00705511" w:rsidRPr="00B97695">
        <w:rPr>
          <w:rFonts w:ascii="Times New Roman" w:hAnsi="Times New Roman"/>
          <w:b/>
        </w:rPr>
        <w:t xml:space="preserve"> definition only include direct legal </w:t>
      </w:r>
      <w:r w:rsidR="00705511">
        <w:rPr>
          <w:rFonts w:ascii="Times New Roman" w:hAnsi="Times New Roman"/>
          <w:b/>
          <w:bCs/>
        </w:rPr>
        <w:t>services</w:t>
      </w:r>
      <w:r w:rsidR="00705511" w:rsidRPr="00B97695">
        <w:rPr>
          <w:rFonts w:ascii="Times New Roman" w:hAnsi="Times New Roman"/>
          <w:b/>
        </w:rPr>
        <w:t xml:space="preserve"> and not </w:t>
      </w:r>
      <w:r w:rsidR="00705511">
        <w:rPr>
          <w:rFonts w:ascii="Times New Roman" w:hAnsi="Times New Roman"/>
          <w:b/>
          <w:bCs/>
        </w:rPr>
        <w:t>services</w:t>
      </w:r>
      <w:r w:rsidR="00705511" w:rsidRPr="00B97695">
        <w:rPr>
          <w:rFonts w:ascii="Times New Roman" w:hAnsi="Times New Roman"/>
          <w:b/>
        </w:rPr>
        <w:t xml:space="preserve"> to the profession or other charitable activities?</w:t>
      </w:r>
    </w:p>
    <w:p w14:paraId="3745F1A8" w14:textId="77777777" w:rsidR="0014513C" w:rsidRPr="00B97695" w:rsidRDefault="0014513C">
      <w:pPr>
        <w:rPr>
          <w:rFonts w:ascii="Times New Roman" w:hAnsi="Times New Roman"/>
        </w:rPr>
      </w:pPr>
    </w:p>
    <w:p w14:paraId="6F3F094C" w14:textId="7AFE552D" w:rsidR="0014513C" w:rsidRPr="00E37178" w:rsidRDefault="00705511" w:rsidP="00E37178">
      <w:pPr>
        <w:pStyle w:val="BodyText"/>
        <w:rPr>
          <w:rFonts w:hint="eastAsia"/>
        </w:rPr>
      </w:pPr>
      <w:r w:rsidRPr="00B97695">
        <w:rPr>
          <w:rFonts w:ascii="Times New Roman" w:hAnsi="Times New Roman"/>
        </w:rPr>
        <w:t xml:space="preserve">The purpose of collecting data under </w:t>
      </w:r>
      <w:r>
        <w:rPr>
          <w:rFonts w:ascii="Times New Roman" w:hAnsi="Times New Roman"/>
        </w:rPr>
        <w:t>this</w:t>
      </w:r>
      <w:r w:rsidRPr="00B97695">
        <w:rPr>
          <w:rFonts w:ascii="Times New Roman" w:hAnsi="Times New Roman"/>
        </w:rPr>
        <w:t xml:space="preserve"> proposed rule is to document </w:t>
      </w:r>
      <w:r w:rsidR="00781978">
        <w:t>pro bono</w:t>
      </w:r>
      <w:r w:rsidRPr="00B97695">
        <w:rPr>
          <w:rFonts w:ascii="Times New Roman" w:hAnsi="Times New Roman"/>
        </w:rPr>
        <w:t xml:space="preserve"> service to </w:t>
      </w:r>
      <w:r>
        <w:rPr>
          <w:rFonts w:ascii="Times New Roman" w:hAnsi="Times New Roman"/>
        </w:rPr>
        <w:t>low</w:t>
      </w:r>
      <w:r w:rsidR="00781978">
        <w:rPr>
          <w:rFonts w:ascii="Times New Roman" w:hAnsi="Times New Roman"/>
        </w:rPr>
        <w:t>-</w:t>
      </w:r>
      <w:r>
        <w:rPr>
          <w:rFonts w:ascii="Times New Roman" w:hAnsi="Times New Roman"/>
        </w:rPr>
        <w:t xml:space="preserve">income </w:t>
      </w:r>
      <w:r w:rsidRPr="00B97695">
        <w:rPr>
          <w:rFonts w:ascii="Times New Roman" w:hAnsi="Times New Roman"/>
        </w:rPr>
        <w:t xml:space="preserve">Minnesotans and nonprofit organizations that </w:t>
      </w:r>
      <w:r w:rsidR="003C3C50">
        <w:rPr>
          <w:rFonts w:ascii="Times New Roman" w:hAnsi="Times New Roman"/>
        </w:rPr>
        <w:t>cannot</w:t>
      </w:r>
      <w:r w:rsidRPr="00B97695">
        <w:rPr>
          <w:rFonts w:ascii="Times New Roman" w:hAnsi="Times New Roman"/>
        </w:rPr>
        <w:t xml:space="preserve"> afford legal assistance.  </w:t>
      </w:r>
      <w:r w:rsidRPr="00781978">
        <w:t xml:space="preserve">Therefore, </w:t>
      </w:r>
      <w:r w:rsidR="00A72979" w:rsidRPr="00033F87">
        <w:t>the</w:t>
      </w:r>
      <w:r w:rsidRPr="00781978">
        <w:t xml:space="preserve"> proposed rule </w:t>
      </w:r>
      <w:r w:rsidR="00A72979" w:rsidRPr="00033F87">
        <w:t>only asks for information about direct legal</w:t>
      </w:r>
      <w:r w:rsidRPr="00781978">
        <w:t xml:space="preserve"> services to </w:t>
      </w:r>
      <w:r w:rsidR="00C91294" w:rsidRPr="00033F87">
        <w:t>persons of limited means</w:t>
      </w:r>
      <w:r w:rsidR="00A72979" w:rsidRPr="00033F87">
        <w:t xml:space="preserve"> and related </w:t>
      </w:r>
      <w:r w:rsidR="00A72979" w:rsidRPr="00033F87">
        <w:lastRenderedPageBreak/>
        <w:t>nonprofit organizations</w:t>
      </w:r>
      <w:r w:rsidR="00AB1D3B" w:rsidRPr="00033F87">
        <w:t xml:space="preserve">.  </w:t>
      </w:r>
      <w:r w:rsidR="00A72979" w:rsidRPr="00033F87">
        <w:t xml:space="preserve">Service to the legal </w:t>
      </w:r>
      <w:r w:rsidRPr="00781978">
        <w:t>profession</w:t>
      </w:r>
      <w:r w:rsidR="00A72979" w:rsidRPr="00033F87">
        <w:t>, as well as broader</w:t>
      </w:r>
      <w:r w:rsidRPr="00781978">
        <w:t xml:space="preserve"> charitable activities</w:t>
      </w:r>
      <w:r w:rsidR="001D30AE" w:rsidRPr="00033F87">
        <w:t>, are</w:t>
      </w:r>
      <w:r w:rsidR="00A72979" w:rsidRPr="00033F87">
        <w:t xml:space="preserve"> important and should</w:t>
      </w:r>
      <w:r w:rsidR="00A72979" w:rsidRPr="00F673E6">
        <w:t xml:space="preserve"> be recognized; but th</w:t>
      </w:r>
      <w:r w:rsidR="00A86865">
        <w:t>e purpose of this rule is to collect information about and increase service to low-income people and related nonprofit organizations.</w:t>
      </w:r>
      <w:r w:rsidRPr="00781978">
        <w:t xml:space="preserve"> </w:t>
      </w:r>
    </w:p>
    <w:p w14:paraId="60549507" w14:textId="3CF300F5" w:rsidR="0014513C" w:rsidRDefault="00E37178" w:rsidP="00E37178">
      <w:pPr>
        <w:rPr>
          <w:rFonts w:ascii="Times New Roman" w:hAnsi="Times New Roman"/>
          <w:b/>
        </w:rPr>
      </w:pPr>
      <w:r>
        <w:rPr>
          <w:rFonts w:ascii="Times New Roman" w:hAnsi="Times New Roman"/>
          <w:b/>
          <w:bCs/>
        </w:rPr>
        <w:t>6</w:t>
      </w:r>
      <w:r w:rsidR="00705511">
        <w:rPr>
          <w:rFonts w:ascii="Times New Roman" w:hAnsi="Times New Roman"/>
          <w:b/>
          <w:bCs/>
        </w:rPr>
        <w:t xml:space="preserve">.  </w:t>
      </w:r>
      <w:r w:rsidR="00705511" w:rsidRPr="00E37178">
        <w:rPr>
          <w:rFonts w:ascii="Times New Roman" w:hAnsi="Times New Roman" w:hint="eastAsia"/>
          <w:b/>
        </w:rPr>
        <w:t>Why are financial contributions part of the proposed rule?</w:t>
      </w:r>
    </w:p>
    <w:p w14:paraId="51788561" w14:textId="77777777" w:rsidR="00E37178" w:rsidRDefault="00E37178" w:rsidP="00E37178">
      <w:pPr>
        <w:rPr>
          <w:rFonts w:hint="eastAsia"/>
          <w:b/>
          <w:bCs/>
        </w:rPr>
      </w:pPr>
    </w:p>
    <w:p w14:paraId="573F6601" w14:textId="31B6913C" w:rsidR="00A86865" w:rsidRDefault="00B97695" w:rsidP="00A86865">
      <w:pPr>
        <w:rPr>
          <w:rFonts w:hint="eastAsia"/>
        </w:rPr>
      </w:pPr>
      <w:r>
        <w:rPr>
          <w:rFonts w:ascii="Times New Roman" w:hAnsi="Times New Roman"/>
        </w:rPr>
        <w:t>More financial support is needed for</w:t>
      </w:r>
      <w:r w:rsidR="00F910C9" w:rsidRPr="00857B8F">
        <w:rPr>
          <w:bCs/>
        </w:rPr>
        <w:t xml:space="preserve"> both full time legal</w:t>
      </w:r>
      <w:r w:rsidR="00F910C9">
        <w:rPr>
          <w:bCs/>
        </w:rPr>
        <w:t xml:space="preserve"> aid attorneys and their organization</w:t>
      </w:r>
      <w:r w:rsidR="00F910C9" w:rsidRPr="00857B8F">
        <w:rPr>
          <w:bCs/>
        </w:rPr>
        <w:t>s, as well as for the “infrastructure” to support pro bono (i.e., pro bono programs with solid screening, referral, training and support functions for volunteers)</w:t>
      </w:r>
      <w:r w:rsidR="00F910C9">
        <w:t>.</w:t>
      </w:r>
      <w:r w:rsidR="00E47AA9">
        <w:t xml:space="preserve">  </w:t>
      </w:r>
      <w:r w:rsidR="00A72979">
        <w:t xml:space="preserve">Asking about </w:t>
      </w:r>
      <w:r w:rsidR="00F910C9">
        <w:t>financial contributions as part of the rule underscores that these contributions are a critical part of the pro bono delivery system.</w:t>
      </w:r>
      <w:r w:rsidR="003C3C50">
        <w:t xml:space="preserve">  In addition, Rule 6.1 encourages attorneys to financially support programs </w:t>
      </w:r>
      <w:r w:rsidR="00D951D2">
        <w:t xml:space="preserve">that </w:t>
      </w:r>
      <w:r w:rsidR="003C3C50">
        <w:t>serve low-income clients.</w:t>
      </w:r>
    </w:p>
    <w:p w14:paraId="04CC074D" w14:textId="77777777" w:rsidR="0014513C" w:rsidRDefault="0014513C">
      <w:pPr>
        <w:rPr>
          <w:rFonts w:ascii="Times New Roman" w:hAnsi="Times New Roman"/>
          <w:b/>
          <w:bCs/>
        </w:rPr>
      </w:pPr>
    </w:p>
    <w:p w14:paraId="2240D5A3" w14:textId="551B8560" w:rsidR="0014513C" w:rsidRPr="00E37178" w:rsidRDefault="00E37178" w:rsidP="00E37178">
      <w:pPr>
        <w:rPr>
          <w:rFonts w:hint="eastAsia"/>
          <w:b/>
        </w:rPr>
      </w:pPr>
      <w:r>
        <w:rPr>
          <w:rFonts w:ascii="Times New Roman" w:hAnsi="Times New Roman"/>
          <w:b/>
          <w:bCs/>
        </w:rPr>
        <w:t>7</w:t>
      </w:r>
      <w:r w:rsidR="00705511">
        <w:rPr>
          <w:rFonts w:ascii="Times New Roman" w:hAnsi="Times New Roman"/>
          <w:b/>
          <w:bCs/>
        </w:rPr>
        <w:t xml:space="preserve">. </w:t>
      </w:r>
      <w:r w:rsidR="00705511" w:rsidRPr="00E37178">
        <w:rPr>
          <w:rFonts w:ascii="Times New Roman" w:hAnsi="Times New Roman" w:hint="eastAsia"/>
          <w:b/>
        </w:rPr>
        <w:t xml:space="preserve"> What about law firm contributions?</w:t>
      </w:r>
    </w:p>
    <w:p w14:paraId="2C509EB0" w14:textId="77777777" w:rsidR="0014513C" w:rsidRPr="00E37178" w:rsidRDefault="0014513C">
      <w:pPr>
        <w:rPr>
          <w:rFonts w:ascii="Times New Roman" w:hAnsi="Times New Roman"/>
        </w:rPr>
      </w:pPr>
    </w:p>
    <w:p w14:paraId="2BE4A2ED" w14:textId="5AE2E2E4" w:rsidR="0014513C" w:rsidRPr="00E37178" w:rsidRDefault="00705511">
      <w:pPr>
        <w:rPr>
          <w:rFonts w:ascii="Times New Roman" w:eastAsia="Times New Roman" w:hAnsi="Times New Roman" w:cs="Times New Roman"/>
          <w:kern w:val="0"/>
          <w:szCs w:val="20"/>
          <w:lang w:eastAsia="en-US" w:bidi="ar-SA"/>
        </w:rPr>
      </w:pPr>
      <w:r w:rsidRPr="00E37178">
        <w:rPr>
          <w:rFonts w:ascii="Times New Roman" w:hAnsi="Times New Roman" w:hint="eastAsia"/>
        </w:rPr>
        <w:t xml:space="preserve">The proposed rule asks only for information about individual financial contributions and not institutional or law firm contributions.  </w:t>
      </w:r>
    </w:p>
    <w:p w14:paraId="7D4B2188" w14:textId="77777777" w:rsidR="0014513C" w:rsidRPr="00E37178" w:rsidRDefault="0014513C">
      <w:pPr>
        <w:rPr>
          <w:rFonts w:ascii="Times New Roman" w:hAnsi="Times New Roman"/>
          <w:b/>
        </w:rPr>
      </w:pPr>
    </w:p>
    <w:p w14:paraId="65A2CE69" w14:textId="1E5154DA" w:rsidR="00033F87" w:rsidRDefault="00E37178" w:rsidP="00E37178">
      <w:pPr>
        <w:rPr>
          <w:rFonts w:hint="eastAsia"/>
          <w:b/>
          <w:iCs/>
          <w:color w:val="0000FF"/>
        </w:rPr>
      </w:pPr>
      <w:r>
        <w:rPr>
          <w:b/>
          <w:iCs/>
          <w:color w:val="000000"/>
        </w:rPr>
        <w:t xml:space="preserve">8.  </w:t>
      </w:r>
      <w:r w:rsidR="001F0DF7" w:rsidRPr="00F673E6">
        <w:rPr>
          <w:b/>
          <w:iCs/>
          <w:color w:val="000000"/>
        </w:rPr>
        <w:t xml:space="preserve">Will </w:t>
      </w:r>
      <w:r w:rsidR="008F0A43" w:rsidRPr="00F673E6">
        <w:rPr>
          <w:b/>
          <w:iCs/>
          <w:color w:val="000000"/>
        </w:rPr>
        <w:t>reported pro bono hours be made available to the public?</w:t>
      </w:r>
      <w:r w:rsidR="008F0A43" w:rsidRPr="00F673E6">
        <w:rPr>
          <w:b/>
          <w:iCs/>
          <w:color w:val="0000FF"/>
        </w:rPr>
        <w:t xml:space="preserve"> </w:t>
      </w:r>
    </w:p>
    <w:p w14:paraId="3130ECA3" w14:textId="77777777" w:rsidR="00E37178" w:rsidRPr="00E37178" w:rsidRDefault="00E37178" w:rsidP="00E37178">
      <w:pPr>
        <w:rPr>
          <w:rFonts w:hint="eastAsia"/>
          <w:b/>
          <w:iCs/>
        </w:rPr>
      </w:pPr>
    </w:p>
    <w:p w14:paraId="31D58ADB" w14:textId="77777777" w:rsidR="008F0A43" w:rsidRPr="00D4610A" w:rsidRDefault="001D30AE" w:rsidP="008F0A43">
      <w:pPr>
        <w:pStyle w:val="BodyText"/>
        <w:rPr>
          <w:rFonts w:hint="eastAsia"/>
          <w:b/>
          <w:bCs/>
        </w:rPr>
      </w:pPr>
      <w:r>
        <w:rPr>
          <w:bCs/>
        </w:rPr>
        <w:t>R</w:t>
      </w:r>
      <w:r w:rsidR="00E71676" w:rsidRPr="00F673E6">
        <w:rPr>
          <w:bCs/>
        </w:rPr>
        <w:t>eport</w:t>
      </w:r>
      <w:r w:rsidR="0028679D">
        <w:rPr>
          <w:bCs/>
        </w:rPr>
        <w:t>ed information</w:t>
      </w:r>
      <w:r w:rsidR="00E71676" w:rsidRPr="00F673E6">
        <w:rPr>
          <w:bCs/>
        </w:rPr>
        <w:t xml:space="preserve"> will not</w:t>
      </w:r>
      <w:r w:rsidR="008F0A43" w:rsidRPr="00F673E6">
        <w:rPr>
          <w:bCs/>
        </w:rPr>
        <w:t xml:space="preserve"> be subject to p</w:t>
      </w:r>
      <w:r w:rsidR="00E71676" w:rsidRPr="00F673E6">
        <w:rPr>
          <w:bCs/>
        </w:rPr>
        <w:t>ublic disclosure or use in any disciplinary context</w:t>
      </w:r>
      <w:r w:rsidR="008F0A43" w:rsidRPr="00F673E6">
        <w:rPr>
          <w:bCs/>
        </w:rPr>
        <w:t>. The information about an individual attorney’s pro bono hours and financial contri</w:t>
      </w:r>
      <w:r w:rsidR="00E71676" w:rsidRPr="00F673E6">
        <w:rPr>
          <w:bCs/>
        </w:rPr>
        <w:t xml:space="preserve">butions will only </w:t>
      </w:r>
      <w:r w:rsidR="00E71676" w:rsidRPr="00A86865">
        <w:rPr>
          <w:bCs/>
        </w:rPr>
        <w:t>be</w:t>
      </w:r>
      <w:r w:rsidR="008F0A43" w:rsidRPr="00A86865">
        <w:rPr>
          <w:bCs/>
        </w:rPr>
        <w:t xml:space="preserve"> reported, retained and disclosed </w:t>
      </w:r>
      <w:r w:rsidR="00A86865">
        <w:rPr>
          <w:bCs/>
        </w:rPr>
        <w:t>in the aggregate and as</w:t>
      </w:r>
      <w:r w:rsidRPr="00A86865">
        <w:rPr>
          <w:bCs/>
        </w:rPr>
        <w:t xml:space="preserve"> directed by the </w:t>
      </w:r>
      <w:r w:rsidR="0028679D">
        <w:rPr>
          <w:bCs/>
        </w:rPr>
        <w:t>C</w:t>
      </w:r>
      <w:r w:rsidRPr="00A86865">
        <w:rPr>
          <w:bCs/>
        </w:rPr>
        <w:t>ourt</w:t>
      </w:r>
      <w:r w:rsidR="008F0A43" w:rsidRPr="00A86865">
        <w:rPr>
          <w:bCs/>
        </w:rPr>
        <w:t>.</w:t>
      </w:r>
      <w:r w:rsidR="008F0A43" w:rsidRPr="00F673E6">
        <w:rPr>
          <w:bCs/>
        </w:rPr>
        <w:t xml:space="preserve"> </w:t>
      </w:r>
    </w:p>
    <w:p w14:paraId="5E01FB14" w14:textId="2BEA5737" w:rsidR="0014513C" w:rsidRPr="00B97695" w:rsidRDefault="00D951D2" w:rsidP="00B97695">
      <w:pPr>
        <w:rPr>
          <w:rFonts w:hint="eastAsia"/>
        </w:rPr>
      </w:pPr>
      <w:r>
        <w:rPr>
          <w:rFonts w:ascii="Times New Roman" w:hAnsi="Times New Roman"/>
          <w:b/>
          <w:bCs/>
        </w:rPr>
        <w:t>9</w:t>
      </w:r>
      <w:r w:rsidR="00705511">
        <w:rPr>
          <w:rFonts w:ascii="Times New Roman" w:hAnsi="Times New Roman"/>
          <w:b/>
          <w:bCs/>
        </w:rPr>
        <w:t xml:space="preserve">.  </w:t>
      </w:r>
      <w:r w:rsidR="00705511" w:rsidRPr="00B97695">
        <w:rPr>
          <w:rFonts w:ascii="Times New Roman" w:hAnsi="Times New Roman"/>
          <w:b/>
        </w:rPr>
        <w:t xml:space="preserve">Does an attorney need to formally screen clients for income in order to consider it </w:t>
      </w:r>
      <w:r w:rsidR="00705511">
        <w:rPr>
          <w:rFonts w:ascii="Times New Roman" w:hAnsi="Times New Roman"/>
          <w:b/>
          <w:bCs/>
        </w:rPr>
        <w:t>Pro-Bono</w:t>
      </w:r>
      <w:r w:rsidR="00705511" w:rsidRPr="00B97695">
        <w:rPr>
          <w:rFonts w:ascii="Times New Roman" w:hAnsi="Times New Roman"/>
          <w:b/>
        </w:rPr>
        <w:t xml:space="preserve"> services?</w:t>
      </w:r>
    </w:p>
    <w:p w14:paraId="0D0A0689" w14:textId="77777777" w:rsidR="0014513C" w:rsidRPr="00B97695" w:rsidRDefault="0014513C" w:rsidP="00B97695">
      <w:pPr>
        <w:rPr>
          <w:rFonts w:ascii="Times New Roman" w:hAnsi="Times New Roman"/>
        </w:rPr>
      </w:pPr>
    </w:p>
    <w:p w14:paraId="5AFF9D0F" w14:textId="77777777" w:rsidR="00B97695" w:rsidRDefault="00705511" w:rsidP="00B97695">
      <w:pPr>
        <w:rPr>
          <w:rFonts w:hint="eastAsia"/>
          <w:b/>
        </w:rPr>
      </w:pPr>
      <w:r w:rsidRPr="00B97695">
        <w:rPr>
          <w:rFonts w:ascii="Times New Roman" w:hAnsi="Times New Roman"/>
        </w:rPr>
        <w:t xml:space="preserve">No, lawyers </w:t>
      </w:r>
      <w:r>
        <w:rPr>
          <w:rFonts w:ascii="Times New Roman" w:hAnsi="Times New Roman"/>
        </w:rPr>
        <w:t>do not need to formerly investigate clients</w:t>
      </w:r>
      <w:r w:rsidRPr="00B97695">
        <w:rPr>
          <w:rFonts w:ascii="Times New Roman" w:hAnsi="Times New Roman"/>
        </w:rPr>
        <w:t xml:space="preserve"> to determine </w:t>
      </w:r>
      <w:r>
        <w:rPr>
          <w:rFonts w:ascii="Times New Roman" w:hAnsi="Times New Roman"/>
        </w:rPr>
        <w:t>income</w:t>
      </w:r>
      <w:r w:rsidRPr="00B97695">
        <w:rPr>
          <w:rFonts w:ascii="Times New Roman" w:hAnsi="Times New Roman"/>
        </w:rPr>
        <w:t xml:space="preserve"> eligibility.  </w:t>
      </w:r>
      <w:r>
        <w:rPr>
          <w:rFonts w:ascii="Times New Roman" w:hAnsi="Times New Roman"/>
        </w:rPr>
        <w:t xml:space="preserve"> A</w:t>
      </w:r>
      <w:r w:rsidRPr="00B97695">
        <w:rPr>
          <w:rFonts w:ascii="Times New Roman" w:hAnsi="Times New Roman"/>
        </w:rPr>
        <w:t xml:space="preserve"> good faith determination by the lawyer of client eligibility is sufficient.</w:t>
      </w:r>
      <w:r>
        <w:rPr>
          <w:rFonts w:ascii="Times New Roman" w:hAnsi="Times New Roman"/>
        </w:rPr>
        <w:t xml:space="preserve"> </w:t>
      </w:r>
      <w:r>
        <w:rPr>
          <w:rFonts w:ascii="Times New Roman" w:hAnsi="Times New Roman"/>
          <w:b/>
          <w:bCs/>
        </w:rPr>
        <w:t xml:space="preserve"> </w:t>
      </w:r>
    </w:p>
    <w:p w14:paraId="5C29AB7E" w14:textId="77777777" w:rsidR="00B97695" w:rsidRDefault="00B97695" w:rsidP="00B97695">
      <w:pPr>
        <w:rPr>
          <w:rFonts w:hint="eastAsia"/>
          <w:b/>
        </w:rPr>
      </w:pPr>
    </w:p>
    <w:p w14:paraId="70B893A3" w14:textId="5820B285" w:rsidR="00D4610A" w:rsidRPr="00E37178" w:rsidRDefault="00E37178" w:rsidP="00E37178">
      <w:pPr>
        <w:rPr>
          <w:rFonts w:hint="eastAsia"/>
          <w:b/>
        </w:rPr>
      </w:pPr>
      <w:r>
        <w:rPr>
          <w:b/>
          <w:color w:val="000000"/>
        </w:rPr>
        <w:t>1</w:t>
      </w:r>
      <w:r w:rsidR="00D951D2">
        <w:rPr>
          <w:b/>
          <w:color w:val="000000"/>
        </w:rPr>
        <w:t>0</w:t>
      </w:r>
      <w:r>
        <w:rPr>
          <w:b/>
          <w:color w:val="000000"/>
        </w:rPr>
        <w:t xml:space="preserve">.  </w:t>
      </w:r>
      <w:r w:rsidR="0028679D" w:rsidRPr="00E37178">
        <w:rPr>
          <w:b/>
          <w:color w:val="000000"/>
        </w:rPr>
        <w:t>Can attorneys decline to answer the question</w:t>
      </w:r>
      <w:r w:rsidR="00DC4D2A" w:rsidRPr="00E37178">
        <w:rPr>
          <w:b/>
          <w:color w:val="000000"/>
        </w:rPr>
        <w:t>?</w:t>
      </w:r>
    </w:p>
    <w:p w14:paraId="7404D923" w14:textId="77777777" w:rsidR="00DC4D2A" w:rsidRDefault="00DC4D2A" w:rsidP="00DC4D2A">
      <w:pPr>
        <w:autoSpaceDE w:val="0"/>
        <w:autoSpaceDN w:val="0"/>
        <w:adjustRightInd w:val="0"/>
        <w:rPr>
          <w:rFonts w:hint="eastAsia"/>
          <w:b/>
          <w:color w:val="000000"/>
        </w:rPr>
      </w:pPr>
    </w:p>
    <w:p w14:paraId="790AF68B" w14:textId="0AA790B1" w:rsidR="00DC4D2A" w:rsidRPr="00033F87" w:rsidRDefault="0028679D" w:rsidP="00DC4D2A">
      <w:pPr>
        <w:rPr>
          <w:rFonts w:hint="eastAsia"/>
        </w:rPr>
      </w:pPr>
      <w:r>
        <w:rPr>
          <w:color w:val="000000"/>
        </w:rPr>
        <w:t xml:space="preserve">No. </w:t>
      </w:r>
      <w:r w:rsidR="00DC4D2A">
        <w:rPr>
          <w:color w:val="000000"/>
        </w:rPr>
        <w:t xml:space="preserve">Under the proposed </w:t>
      </w:r>
      <w:r w:rsidR="00E47AA9">
        <w:rPr>
          <w:color w:val="000000"/>
        </w:rPr>
        <w:t>r</w:t>
      </w:r>
      <w:r w:rsidR="00DC4D2A">
        <w:rPr>
          <w:color w:val="000000"/>
        </w:rPr>
        <w:t xml:space="preserve">ule, attorneys </w:t>
      </w:r>
      <w:r w:rsidR="00E47AA9">
        <w:rPr>
          <w:color w:val="000000"/>
        </w:rPr>
        <w:t>would be</w:t>
      </w:r>
      <w:r w:rsidR="00DC4D2A">
        <w:rPr>
          <w:color w:val="000000"/>
        </w:rPr>
        <w:t xml:space="preserve"> required to answer the two new questions as part of attorney registration.  </w:t>
      </w:r>
      <w:r w:rsidR="00E47AA9">
        <w:rPr>
          <w:color w:val="000000"/>
        </w:rPr>
        <w:t>F</w:t>
      </w:r>
      <w:r w:rsidR="00DC4D2A">
        <w:rPr>
          <w:color w:val="000000"/>
        </w:rPr>
        <w:t>ailure to answer w</w:t>
      </w:r>
      <w:r>
        <w:rPr>
          <w:color w:val="000000"/>
        </w:rPr>
        <w:t>ould</w:t>
      </w:r>
      <w:r w:rsidR="00DC4D2A">
        <w:rPr>
          <w:color w:val="000000"/>
        </w:rPr>
        <w:t xml:space="preserve"> result in the same consequence</w:t>
      </w:r>
      <w:r>
        <w:rPr>
          <w:color w:val="000000"/>
        </w:rPr>
        <w:t>s</w:t>
      </w:r>
      <w:r w:rsidR="00DC4D2A">
        <w:rPr>
          <w:color w:val="000000"/>
        </w:rPr>
        <w:t xml:space="preserve"> as the failure to answer any other question on the </w:t>
      </w:r>
      <w:r>
        <w:rPr>
          <w:color w:val="000000"/>
        </w:rPr>
        <w:t xml:space="preserve">attorney </w:t>
      </w:r>
      <w:r w:rsidR="00DC4D2A">
        <w:rPr>
          <w:color w:val="000000"/>
        </w:rPr>
        <w:t xml:space="preserve">registration form.  As discussed above, </w:t>
      </w:r>
      <w:r w:rsidR="00E47AA9">
        <w:t>a</w:t>
      </w:r>
      <w:r w:rsidR="00DC4D2A">
        <w:t xml:space="preserve">ttorneys can mark “0” and “No” in response to each question without </w:t>
      </w:r>
      <w:r w:rsidR="00DC4D2A" w:rsidRPr="00033F87">
        <w:t>consequence.  The Committee anticipates that</w:t>
      </w:r>
      <w:r w:rsidR="003C3C50">
        <w:t>,</w:t>
      </w:r>
      <w:r w:rsidR="00DC4D2A" w:rsidRPr="00033F87">
        <w:t xml:space="preserve"> for some </w:t>
      </w:r>
      <w:r w:rsidRPr="00033F87">
        <w:t xml:space="preserve">short </w:t>
      </w:r>
      <w:r w:rsidR="00DC4D2A" w:rsidRPr="00033F87">
        <w:t xml:space="preserve">period of time after adoption, the Lawyer Registration Office would have discretion to accept </w:t>
      </w:r>
      <w:r w:rsidR="00E47AA9" w:rsidRPr="00033F87">
        <w:t>incomplete responses</w:t>
      </w:r>
      <w:r w:rsidR="00DC4D2A" w:rsidRPr="00033F87">
        <w:t xml:space="preserve"> to allow for a period of education about </w:t>
      </w:r>
      <w:r w:rsidRPr="00033F87">
        <w:t>the</w:t>
      </w:r>
      <w:r w:rsidR="00DC4D2A" w:rsidRPr="00033F87">
        <w:t xml:space="preserve"> new rule and to minimize any possibility of inadvertent </w:t>
      </w:r>
      <w:r w:rsidR="00E47AA9" w:rsidRPr="00033F87">
        <w:t>noncompliant status</w:t>
      </w:r>
      <w:r w:rsidR="00DC4D2A" w:rsidRPr="00033F87">
        <w:t xml:space="preserve">.  </w:t>
      </w:r>
    </w:p>
    <w:p w14:paraId="1AB2E7DF" w14:textId="30538FA4" w:rsidR="0014513C" w:rsidRDefault="0014513C">
      <w:pPr>
        <w:rPr>
          <w:rFonts w:ascii="Times New Roman" w:hAnsi="Times New Roman"/>
        </w:rPr>
      </w:pPr>
    </w:p>
    <w:p w14:paraId="57400F7E" w14:textId="796D747A" w:rsidR="008D0888" w:rsidRDefault="00155DEF" w:rsidP="008D0888">
      <w:pPr>
        <w:autoSpaceDE w:val="0"/>
        <w:autoSpaceDN w:val="0"/>
        <w:adjustRightInd w:val="0"/>
        <w:rPr>
          <w:rFonts w:hint="eastAsia"/>
          <w:b/>
          <w:color w:val="000000"/>
        </w:rPr>
      </w:pPr>
      <w:r>
        <w:rPr>
          <w:b/>
          <w:color w:val="000000"/>
        </w:rPr>
        <w:t>1</w:t>
      </w:r>
      <w:r w:rsidR="00D951D2">
        <w:rPr>
          <w:b/>
          <w:color w:val="000000"/>
        </w:rPr>
        <w:t>1</w:t>
      </w:r>
      <w:r>
        <w:rPr>
          <w:b/>
          <w:color w:val="000000"/>
        </w:rPr>
        <w:t xml:space="preserve">.  </w:t>
      </w:r>
      <w:r w:rsidR="008D0888">
        <w:rPr>
          <w:b/>
          <w:color w:val="000000"/>
        </w:rPr>
        <w:t>Why can’t attorneys opt out of answering?</w:t>
      </w:r>
    </w:p>
    <w:p w14:paraId="4F9F3D99" w14:textId="77777777" w:rsidR="008D0888" w:rsidRDefault="008D0888" w:rsidP="008D0888">
      <w:pPr>
        <w:autoSpaceDE w:val="0"/>
        <w:autoSpaceDN w:val="0"/>
        <w:adjustRightInd w:val="0"/>
        <w:rPr>
          <w:rFonts w:hint="eastAsia"/>
          <w:b/>
          <w:color w:val="000000"/>
        </w:rPr>
      </w:pPr>
    </w:p>
    <w:p w14:paraId="45ADE340" w14:textId="5C05F9A0" w:rsidR="00D951D2" w:rsidRPr="00B97695" w:rsidRDefault="00155DEF" w:rsidP="00D951D2">
      <w:pPr>
        <w:autoSpaceDE w:val="0"/>
        <w:autoSpaceDN w:val="0"/>
        <w:adjustRightInd w:val="0"/>
        <w:rPr>
          <w:rFonts w:hint="eastAsia"/>
          <w:color w:val="000000"/>
        </w:rPr>
      </w:pPr>
      <w:r>
        <w:rPr>
          <w:color w:val="000000"/>
        </w:rPr>
        <w:t>One</w:t>
      </w:r>
      <w:r w:rsidR="008D0888">
        <w:rPr>
          <w:color w:val="000000"/>
        </w:rPr>
        <w:t xml:space="preserve"> goal </w:t>
      </w:r>
      <w:r>
        <w:rPr>
          <w:color w:val="000000"/>
        </w:rPr>
        <w:t xml:space="preserve">of the proposed rule </w:t>
      </w:r>
      <w:r w:rsidR="008D0888">
        <w:rPr>
          <w:color w:val="000000"/>
        </w:rPr>
        <w:t>is capture complete information about pro bono service in our state</w:t>
      </w:r>
      <w:r>
        <w:rPr>
          <w:color w:val="000000"/>
        </w:rPr>
        <w:t xml:space="preserve">; gathering accurate data requires all attorneys to answer, even if the answer is zero.  </w:t>
      </w:r>
      <w:r w:rsidR="00D951D2">
        <w:rPr>
          <w:color w:val="000000"/>
        </w:rPr>
        <w:t>Moreover, Rule 6.1 applies universally to all licensed attorneys.  Even if some attorneys choose not to do pro bono service or are prohibited for reasons connected with their employment, their answers of “0” will help provide a complete picture of the amount of pro bono service in the state</w:t>
      </w:r>
    </w:p>
    <w:p w14:paraId="3AF3D728" w14:textId="77777777" w:rsidR="00D951D2" w:rsidRPr="00B97695" w:rsidRDefault="00D951D2" w:rsidP="00D951D2">
      <w:pPr>
        <w:autoSpaceDE w:val="0"/>
        <w:autoSpaceDN w:val="0"/>
        <w:adjustRightInd w:val="0"/>
        <w:rPr>
          <w:rFonts w:hint="eastAsia"/>
          <w:b/>
          <w:color w:val="000000"/>
        </w:rPr>
      </w:pPr>
    </w:p>
    <w:p w14:paraId="2B0AF4D8" w14:textId="2F372B1B" w:rsidR="008D0888" w:rsidRDefault="008D0888" w:rsidP="008D0888">
      <w:pPr>
        <w:autoSpaceDE w:val="0"/>
        <w:autoSpaceDN w:val="0"/>
        <w:adjustRightInd w:val="0"/>
        <w:rPr>
          <w:rFonts w:hint="eastAsia"/>
          <w:color w:val="000000"/>
        </w:rPr>
      </w:pPr>
    </w:p>
    <w:p w14:paraId="727D74D6" w14:textId="77777777" w:rsidR="00155DEF" w:rsidRPr="00B97695" w:rsidRDefault="00155DEF" w:rsidP="008D0888">
      <w:pPr>
        <w:autoSpaceDE w:val="0"/>
        <w:autoSpaceDN w:val="0"/>
        <w:adjustRightInd w:val="0"/>
        <w:rPr>
          <w:rFonts w:hint="eastAsia"/>
          <w:color w:val="000000"/>
        </w:rPr>
      </w:pPr>
    </w:p>
    <w:p w14:paraId="10BA5448" w14:textId="77777777" w:rsidR="008D0888" w:rsidRDefault="008D0888">
      <w:pPr>
        <w:rPr>
          <w:rFonts w:ascii="Times New Roman" w:hAnsi="Times New Roman"/>
        </w:rPr>
      </w:pPr>
    </w:p>
    <w:p w14:paraId="5C761EFE" w14:textId="771A5631" w:rsidR="0014513C" w:rsidRPr="00B97695" w:rsidRDefault="00155DEF" w:rsidP="00B97695">
      <w:pPr>
        <w:rPr>
          <w:rFonts w:hint="eastAsia"/>
          <w:b/>
        </w:rPr>
      </w:pPr>
      <w:r>
        <w:rPr>
          <w:rFonts w:ascii="Times New Roman" w:hAnsi="Times New Roman"/>
          <w:b/>
          <w:bCs/>
        </w:rPr>
        <w:t>1</w:t>
      </w:r>
      <w:r w:rsidR="00D951D2">
        <w:rPr>
          <w:rFonts w:ascii="Times New Roman" w:hAnsi="Times New Roman"/>
          <w:b/>
          <w:bCs/>
        </w:rPr>
        <w:t>2</w:t>
      </w:r>
      <w:r w:rsidR="00705511">
        <w:rPr>
          <w:rFonts w:ascii="Times New Roman" w:hAnsi="Times New Roman"/>
          <w:b/>
          <w:bCs/>
        </w:rPr>
        <w:t xml:space="preserve">.  </w:t>
      </w:r>
      <w:r w:rsidR="00705511" w:rsidRPr="00B97695">
        <w:rPr>
          <w:rFonts w:ascii="Times New Roman" w:hAnsi="Times New Roman"/>
          <w:b/>
        </w:rPr>
        <w:t>Would the rule apply to judges and government attorneys?</w:t>
      </w:r>
    </w:p>
    <w:p w14:paraId="3A8FE3F8" w14:textId="77777777" w:rsidR="0014513C" w:rsidRPr="00B97695" w:rsidRDefault="0014513C">
      <w:pPr>
        <w:rPr>
          <w:rFonts w:ascii="Times New Roman" w:hAnsi="Times New Roman"/>
        </w:rPr>
      </w:pPr>
    </w:p>
    <w:p w14:paraId="3D2977F0" w14:textId="59669132" w:rsidR="0014513C" w:rsidRPr="00B97695" w:rsidRDefault="00155DEF" w:rsidP="00B97695">
      <w:pPr>
        <w:rPr>
          <w:rFonts w:hint="eastAsia"/>
          <w:b/>
        </w:rPr>
      </w:pPr>
      <w:r>
        <w:rPr>
          <w:rFonts w:ascii="Times New Roman" w:hAnsi="Times New Roman"/>
        </w:rPr>
        <w:t xml:space="preserve">Yes, and they will answer zero if appropriate.  </w:t>
      </w:r>
      <w:r w:rsidR="00705511" w:rsidRPr="00B97695">
        <w:rPr>
          <w:rFonts w:ascii="Times New Roman" w:hAnsi="Times New Roman"/>
        </w:rPr>
        <w:t>Some members of the</w:t>
      </w:r>
      <w:r w:rsidR="00705511">
        <w:rPr>
          <w:rFonts w:ascii="Times New Roman" w:hAnsi="Times New Roman"/>
        </w:rPr>
        <w:t xml:space="preserve"> legal</w:t>
      </w:r>
      <w:r w:rsidR="00705511" w:rsidRPr="00B97695">
        <w:rPr>
          <w:rFonts w:ascii="Times New Roman" w:hAnsi="Times New Roman"/>
        </w:rPr>
        <w:t xml:space="preserve"> profession are prohibited from performing legal services by constitutional, statutory, rule, or regulatory prohibitions. </w:t>
      </w:r>
      <w:r w:rsidR="00B97695">
        <w:rPr>
          <w:rFonts w:ascii="Times New Roman" w:hAnsi="Times New Roman"/>
        </w:rPr>
        <w:t xml:space="preserve"> </w:t>
      </w:r>
      <w:r w:rsidR="00705511" w:rsidRPr="00B97695">
        <w:rPr>
          <w:rFonts w:ascii="Times New Roman" w:hAnsi="Times New Roman"/>
        </w:rPr>
        <w:t xml:space="preserve">Lawyers who fall into these categories are encouraged </w:t>
      </w:r>
      <w:r w:rsidR="003C3C50">
        <w:rPr>
          <w:rFonts w:ascii="Times New Roman" w:hAnsi="Times New Roman"/>
        </w:rPr>
        <w:t xml:space="preserve">to </w:t>
      </w:r>
      <w:r w:rsidR="00705511">
        <w:rPr>
          <w:rFonts w:ascii="Times New Roman" w:hAnsi="Times New Roman"/>
        </w:rPr>
        <w:t>make</w:t>
      </w:r>
      <w:r w:rsidR="00705511" w:rsidRPr="00B97695">
        <w:rPr>
          <w:rFonts w:ascii="Times New Roman" w:hAnsi="Times New Roman"/>
        </w:rPr>
        <w:t xml:space="preserve"> financial </w:t>
      </w:r>
      <w:r w:rsidR="00705511">
        <w:rPr>
          <w:rFonts w:ascii="Times New Roman" w:hAnsi="Times New Roman"/>
        </w:rPr>
        <w:t>contributions</w:t>
      </w:r>
      <w:r w:rsidR="00705511" w:rsidRPr="00B97695">
        <w:rPr>
          <w:rFonts w:ascii="Times New Roman" w:hAnsi="Times New Roman"/>
        </w:rPr>
        <w:t xml:space="preserve"> to legal </w:t>
      </w:r>
      <w:r w:rsidR="00705511">
        <w:rPr>
          <w:rFonts w:ascii="Times New Roman" w:hAnsi="Times New Roman"/>
        </w:rPr>
        <w:t>aid organizations</w:t>
      </w:r>
      <w:r w:rsidR="00B97695">
        <w:rPr>
          <w:rFonts w:ascii="Times New Roman" w:hAnsi="Times New Roman"/>
        </w:rPr>
        <w:t xml:space="preserve"> or </w:t>
      </w:r>
      <w:r w:rsidR="00705511">
        <w:rPr>
          <w:rFonts w:ascii="Times New Roman" w:hAnsi="Times New Roman"/>
        </w:rPr>
        <w:t>participate</w:t>
      </w:r>
      <w:r w:rsidR="00705511" w:rsidRPr="00B97695">
        <w:rPr>
          <w:rFonts w:ascii="Times New Roman" w:hAnsi="Times New Roman"/>
        </w:rPr>
        <w:t xml:space="preserve"> in training programs for volunteer attorneys.</w:t>
      </w:r>
      <w:r w:rsidR="00B97695">
        <w:t xml:space="preserve"> </w:t>
      </w:r>
      <w:r w:rsidR="00705511" w:rsidRPr="00B97695">
        <w:rPr>
          <w:rFonts w:ascii="Times New Roman" w:hAnsi="Times New Roman"/>
        </w:rPr>
        <w:t xml:space="preserve"> </w:t>
      </w:r>
    </w:p>
    <w:p w14:paraId="7AEAF9AA" w14:textId="77777777" w:rsidR="0014513C" w:rsidRPr="00B97695" w:rsidRDefault="0014513C">
      <w:pPr>
        <w:rPr>
          <w:rFonts w:ascii="Times New Roman" w:hAnsi="Times New Roman"/>
        </w:rPr>
      </w:pPr>
    </w:p>
    <w:p w14:paraId="2378F9E7" w14:textId="77777777" w:rsidR="0014513C" w:rsidRDefault="0014513C">
      <w:pPr>
        <w:rPr>
          <w:rFonts w:ascii="Times New Roman" w:hAnsi="Times New Roman"/>
        </w:rPr>
      </w:pPr>
    </w:p>
    <w:p w14:paraId="7317D23B" w14:textId="486988F7" w:rsidR="0014513C" w:rsidRPr="00B97695" w:rsidRDefault="00D951D2" w:rsidP="00B97695">
      <w:pPr>
        <w:rPr>
          <w:rFonts w:hint="eastAsia"/>
          <w:b/>
        </w:rPr>
      </w:pPr>
      <w:r>
        <w:rPr>
          <w:rFonts w:ascii="Times New Roman" w:hAnsi="Times New Roman"/>
          <w:b/>
          <w:bCs/>
        </w:rPr>
        <w:t>13</w:t>
      </w:r>
      <w:r w:rsidR="00155DEF">
        <w:rPr>
          <w:rFonts w:ascii="Times New Roman" w:hAnsi="Times New Roman"/>
          <w:b/>
          <w:bCs/>
        </w:rPr>
        <w:t>.</w:t>
      </w:r>
      <w:r w:rsidR="00705511">
        <w:rPr>
          <w:rFonts w:ascii="Times New Roman" w:hAnsi="Times New Roman"/>
          <w:b/>
          <w:bCs/>
        </w:rPr>
        <w:t xml:space="preserve">  </w:t>
      </w:r>
      <w:r w:rsidR="00705511" w:rsidRPr="00B97695">
        <w:rPr>
          <w:rFonts w:ascii="Times New Roman" w:hAnsi="Times New Roman"/>
          <w:b/>
        </w:rPr>
        <w:t xml:space="preserve">Can government or legal aid attorneys report any of their hours as </w:t>
      </w:r>
      <w:r w:rsidR="00B97695">
        <w:rPr>
          <w:b/>
        </w:rPr>
        <w:t>pro bono</w:t>
      </w:r>
      <w:r w:rsidR="00705511" w:rsidRPr="00B97695">
        <w:rPr>
          <w:rFonts w:ascii="Times New Roman" w:hAnsi="Times New Roman"/>
          <w:b/>
        </w:rPr>
        <w:t xml:space="preserve"> hours under the </w:t>
      </w:r>
      <w:r w:rsidR="00705511">
        <w:rPr>
          <w:rFonts w:ascii="Times New Roman" w:hAnsi="Times New Roman"/>
          <w:b/>
          <w:bCs/>
        </w:rPr>
        <w:t>rule</w:t>
      </w:r>
      <w:r w:rsidR="00705511" w:rsidRPr="00B97695">
        <w:rPr>
          <w:rFonts w:ascii="Times New Roman" w:hAnsi="Times New Roman"/>
          <w:b/>
        </w:rPr>
        <w:t>?</w:t>
      </w:r>
    </w:p>
    <w:p w14:paraId="73E90DED" w14:textId="77777777" w:rsidR="0014513C" w:rsidRPr="00B97695" w:rsidRDefault="0014513C" w:rsidP="00B97695">
      <w:pPr>
        <w:rPr>
          <w:rFonts w:ascii="Times New Roman" w:hAnsi="Times New Roman"/>
        </w:rPr>
      </w:pPr>
    </w:p>
    <w:p w14:paraId="4EC83DE6" w14:textId="43A7AB0F" w:rsidR="0014513C" w:rsidRPr="00B97695" w:rsidRDefault="00705511">
      <w:pPr>
        <w:rPr>
          <w:rFonts w:hint="eastAsia"/>
          <w:b/>
        </w:rPr>
      </w:pPr>
      <w:r w:rsidRPr="00B97695">
        <w:rPr>
          <w:rFonts w:ascii="Times New Roman" w:hAnsi="Times New Roman"/>
        </w:rPr>
        <w:t xml:space="preserve">The </w:t>
      </w:r>
      <w:r w:rsidR="00B97695">
        <w:t>pro bono</w:t>
      </w:r>
      <w:r w:rsidRPr="00B97695">
        <w:rPr>
          <w:rFonts w:ascii="Times New Roman" w:hAnsi="Times New Roman"/>
        </w:rPr>
        <w:t xml:space="preserve"> rule applies only to legal services that are provided without compensation or expectation of compensation or at a reduced fee under certain circumstances.  </w:t>
      </w:r>
      <w:r>
        <w:rPr>
          <w:rFonts w:ascii="Times New Roman" w:hAnsi="Times New Roman"/>
        </w:rPr>
        <w:t>While</w:t>
      </w:r>
      <w:r w:rsidRPr="00B97695">
        <w:rPr>
          <w:rFonts w:ascii="Times New Roman" w:hAnsi="Times New Roman"/>
        </w:rPr>
        <w:t xml:space="preserve"> we recognize the financial sacrifices that legal aid and government attorneys make </w:t>
      </w:r>
      <w:r>
        <w:rPr>
          <w:rFonts w:ascii="Times New Roman" w:hAnsi="Times New Roman"/>
        </w:rPr>
        <w:t>in</w:t>
      </w:r>
      <w:r w:rsidRPr="00B97695">
        <w:rPr>
          <w:rFonts w:ascii="Times New Roman" w:hAnsi="Times New Roman"/>
        </w:rPr>
        <w:t xml:space="preserve"> public service careers, any legal services provided as part of an attorney’s paid employment as a legal aid or government attorney should not be counted as </w:t>
      </w:r>
      <w:r w:rsidR="00B97695">
        <w:t>pro bono</w:t>
      </w:r>
      <w:r w:rsidRPr="00B97695">
        <w:rPr>
          <w:rFonts w:ascii="Times New Roman" w:hAnsi="Times New Roman"/>
        </w:rPr>
        <w:t xml:space="preserve"> hours under the </w:t>
      </w:r>
      <w:r>
        <w:rPr>
          <w:rFonts w:ascii="Times New Roman" w:hAnsi="Times New Roman"/>
        </w:rPr>
        <w:t>rule</w:t>
      </w:r>
      <w:r w:rsidRPr="00B97695">
        <w:rPr>
          <w:rFonts w:ascii="Times New Roman" w:hAnsi="Times New Roman"/>
        </w:rPr>
        <w:t xml:space="preserve">.  </w:t>
      </w:r>
    </w:p>
    <w:p w14:paraId="72FB83AF" w14:textId="77777777" w:rsidR="0014513C" w:rsidRPr="00E37178" w:rsidRDefault="0014513C" w:rsidP="00E37178">
      <w:pPr>
        <w:rPr>
          <w:rFonts w:ascii="Times New Roman" w:hAnsi="Times New Roman"/>
        </w:rPr>
      </w:pPr>
    </w:p>
    <w:p w14:paraId="35F7B654" w14:textId="77777777" w:rsidR="0014513C" w:rsidRPr="00E37178" w:rsidRDefault="0014513C" w:rsidP="00E37178">
      <w:pPr>
        <w:rPr>
          <w:rFonts w:ascii="Times New Roman" w:hAnsi="Times New Roman"/>
        </w:rPr>
      </w:pPr>
    </w:p>
    <w:p w14:paraId="7B1A81C3" w14:textId="77777777" w:rsidR="0014513C" w:rsidRPr="00E37178" w:rsidRDefault="0014513C">
      <w:pPr>
        <w:rPr>
          <w:rFonts w:ascii="Times New Roman" w:hAnsi="Times New Roman"/>
        </w:rPr>
      </w:pPr>
    </w:p>
    <w:p w14:paraId="42F12075" w14:textId="77777777" w:rsidR="0014513C" w:rsidRPr="00E37178" w:rsidRDefault="0014513C">
      <w:pPr>
        <w:rPr>
          <w:rFonts w:ascii="Times New Roman" w:hAnsi="Times New Roman"/>
        </w:rPr>
      </w:pPr>
    </w:p>
    <w:sectPr w:rsidR="0014513C" w:rsidRPr="00E37178" w:rsidSect="008C375E">
      <w:pgSz w:w="12240" w:h="15840"/>
      <w:pgMar w:top="1134" w:right="1134" w:bottom="1134" w:left="1134" w:header="0"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814CE" w14:textId="77777777" w:rsidR="00096719" w:rsidRDefault="00096719" w:rsidP="00705511">
      <w:pPr>
        <w:rPr>
          <w:rFonts w:hint="eastAsia"/>
        </w:rPr>
      </w:pPr>
      <w:r>
        <w:separator/>
      </w:r>
    </w:p>
  </w:endnote>
  <w:endnote w:type="continuationSeparator" w:id="0">
    <w:p w14:paraId="538749AC" w14:textId="77777777" w:rsidR="00096719" w:rsidRDefault="00096719" w:rsidP="00705511">
      <w:pPr>
        <w:rPr>
          <w:rFonts w:hint="eastAsia"/>
        </w:rPr>
      </w:pPr>
      <w:r>
        <w:continuationSeparator/>
      </w:r>
    </w:p>
  </w:endnote>
  <w:endnote w:type="continuationNotice" w:id="1">
    <w:p w14:paraId="226602A9" w14:textId="77777777" w:rsidR="00096719" w:rsidRDefault="00096719">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B3DC2" w14:textId="77777777" w:rsidR="00096719" w:rsidRDefault="00096719" w:rsidP="00705511">
      <w:pPr>
        <w:rPr>
          <w:rFonts w:hint="eastAsia"/>
        </w:rPr>
      </w:pPr>
      <w:r>
        <w:separator/>
      </w:r>
    </w:p>
  </w:footnote>
  <w:footnote w:type="continuationSeparator" w:id="0">
    <w:p w14:paraId="1434699D" w14:textId="77777777" w:rsidR="00096719" w:rsidRDefault="00096719" w:rsidP="00705511">
      <w:pPr>
        <w:rPr>
          <w:rFonts w:hint="eastAsia"/>
        </w:rPr>
      </w:pPr>
      <w:r>
        <w:continuationSeparator/>
      </w:r>
    </w:p>
  </w:footnote>
  <w:footnote w:type="continuationNotice" w:id="1">
    <w:p w14:paraId="3DC4B3EF" w14:textId="77777777" w:rsidR="00096719" w:rsidRDefault="00096719">
      <w:pPr>
        <w:rPr>
          <w:rFonts w:hint="eastAsi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03A6"/>
    <w:multiLevelType w:val="hybridMultilevel"/>
    <w:tmpl w:val="8AEAD4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E647A"/>
    <w:multiLevelType w:val="hybridMultilevel"/>
    <w:tmpl w:val="8C5665D2"/>
    <w:lvl w:ilvl="0" w:tplc="B83C67D4">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580810"/>
    <w:multiLevelType w:val="hybridMultilevel"/>
    <w:tmpl w:val="13E0D05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D3C7B72"/>
    <w:multiLevelType w:val="hybridMultilevel"/>
    <w:tmpl w:val="2D50C620"/>
    <w:lvl w:ilvl="0" w:tplc="1C462E42">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C7A3C"/>
    <w:multiLevelType w:val="hybridMultilevel"/>
    <w:tmpl w:val="B834302E"/>
    <w:lvl w:ilvl="0" w:tplc="FEFCD61E">
      <w:start w:val="8"/>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F4C92"/>
    <w:multiLevelType w:val="hybridMultilevel"/>
    <w:tmpl w:val="6ED8F45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4CF6192"/>
    <w:multiLevelType w:val="hybridMultilevel"/>
    <w:tmpl w:val="88E4001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9D333A3"/>
    <w:multiLevelType w:val="hybridMultilevel"/>
    <w:tmpl w:val="4D506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A165F"/>
    <w:multiLevelType w:val="hybridMultilevel"/>
    <w:tmpl w:val="E89E940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E884389"/>
    <w:multiLevelType w:val="hybridMultilevel"/>
    <w:tmpl w:val="453EC94A"/>
    <w:lvl w:ilvl="0" w:tplc="04090003">
      <w:start w:val="1"/>
      <w:numFmt w:val="bullet"/>
      <w:lvlText w:val="o"/>
      <w:lvlJc w:val="left"/>
      <w:pPr>
        <w:tabs>
          <w:tab w:val="num" w:pos="1447"/>
        </w:tabs>
        <w:ind w:left="1447" w:hanging="360"/>
      </w:pPr>
      <w:rPr>
        <w:rFonts w:ascii="Courier New" w:hAnsi="Courier New"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0" w15:restartNumberingAfterBreak="0">
    <w:nsid w:val="2F953651"/>
    <w:multiLevelType w:val="hybridMultilevel"/>
    <w:tmpl w:val="1960DAC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E40452"/>
    <w:multiLevelType w:val="hybridMultilevel"/>
    <w:tmpl w:val="C58C11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3F90630"/>
    <w:multiLevelType w:val="hybridMultilevel"/>
    <w:tmpl w:val="2DE6387C"/>
    <w:lvl w:ilvl="0" w:tplc="44C002FE">
      <w:start w:val="1"/>
      <w:numFmt w:val="decimal"/>
      <w:lvlText w:val="%1."/>
      <w:lvlJc w:val="left"/>
      <w:pPr>
        <w:tabs>
          <w:tab w:val="num" w:pos="1440"/>
        </w:tabs>
        <w:ind w:left="1440" w:hanging="720"/>
      </w:pPr>
      <w:rPr>
        <w:rFonts w:hint="default"/>
        <w:b w:val="0"/>
      </w:r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3663339F"/>
    <w:multiLevelType w:val="hybridMultilevel"/>
    <w:tmpl w:val="65BC47CC"/>
    <w:lvl w:ilvl="0" w:tplc="D7DCB6C2">
      <w:start w:val="1"/>
      <w:numFmt w:val="upp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9C212B9"/>
    <w:multiLevelType w:val="hybridMultilevel"/>
    <w:tmpl w:val="F34A0AE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9C56BB"/>
    <w:multiLevelType w:val="hybridMultilevel"/>
    <w:tmpl w:val="0F84B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256F99"/>
    <w:multiLevelType w:val="hybridMultilevel"/>
    <w:tmpl w:val="3C7831F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ABA0CE8"/>
    <w:multiLevelType w:val="hybridMultilevel"/>
    <w:tmpl w:val="B4D00D86"/>
    <w:lvl w:ilvl="0" w:tplc="9060177E">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A57308"/>
    <w:multiLevelType w:val="hybridMultilevel"/>
    <w:tmpl w:val="AAFE4E92"/>
    <w:lvl w:ilvl="0" w:tplc="BB0091EA">
      <w:start w:val="2"/>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ED509DE2">
      <w:start w:val="1"/>
      <w:numFmt w:val="lowerLetter"/>
      <w:lvlText w:val="(%3)"/>
      <w:lvlJc w:val="left"/>
      <w:pPr>
        <w:tabs>
          <w:tab w:val="num" w:pos="3015"/>
        </w:tabs>
        <w:ind w:left="3015" w:hanging="10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1C70B0"/>
    <w:multiLevelType w:val="multilevel"/>
    <w:tmpl w:val="7E6A40C0"/>
    <w:lvl w:ilvl="0">
      <w:start w:val="1"/>
      <w:numFmt w:val="decimal"/>
      <w:lvlRestart w:val="0"/>
      <w:pStyle w:val="Numbers"/>
      <w:lvlText w:val="%1."/>
      <w:lvlJc w:val="left"/>
      <w:pPr>
        <w:tabs>
          <w:tab w:val="num" w:pos="1440"/>
        </w:tabs>
        <w:ind w:left="1440" w:hanging="720"/>
      </w:pPr>
      <w:rPr>
        <w:rFonts w:hint="default"/>
        <w:b w:val="0"/>
        <w:i w:val="0"/>
        <w:sz w:val="24"/>
        <w:szCs w:val="24"/>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0C51EF4"/>
    <w:multiLevelType w:val="hybridMultilevel"/>
    <w:tmpl w:val="3ABEE8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6B45140"/>
    <w:multiLevelType w:val="multilevel"/>
    <w:tmpl w:val="3BFEF52E"/>
    <w:lvl w:ilvl="0">
      <w:start w:val="1"/>
      <w:numFmt w:val="upperRoman"/>
      <w:pStyle w:val="Heading1"/>
      <w:suff w:val="nothing"/>
      <w:lvlText w:val="ARTICLE  %1"/>
      <w:lvlJc w:val="left"/>
      <w:pPr>
        <w:ind w:left="0" w:firstLine="0"/>
      </w:pPr>
      <w:rPr>
        <w:rFonts w:hint="default"/>
      </w:rPr>
    </w:lvl>
    <w:lvl w:ilvl="1">
      <w:start w:val="1"/>
      <w:numFmt w:val="decimal"/>
      <w:pStyle w:val="Heading2"/>
      <w:isLgl/>
      <w:lvlText w:val="%1.%2"/>
      <w:lvlJc w:val="left"/>
      <w:pPr>
        <w:tabs>
          <w:tab w:val="num" w:pos="720"/>
        </w:tabs>
        <w:ind w:left="0" w:firstLine="720"/>
      </w:pPr>
      <w:rPr>
        <w:rFonts w:hint="default"/>
      </w:rPr>
    </w:lvl>
    <w:lvl w:ilvl="2">
      <w:start w:val="1"/>
      <w:numFmt w:val="lowerLetter"/>
      <w:pStyle w:val="Heading3"/>
      <w:lvlText w:val="(%3)"/>
      <w:lvlJc w:val="left"/>
      <w:pPr>
        <w:tabs>
          <w:tab w:val="num" w:pos="2160"/>
        </w:tabs>
        <w:ind w:left="2160" w:hanging="720"/>
      </w:pPr>
      <w:rPr>
        <w:rFonts w:hint="default"/>
      </w:rPr>
    </w:lvl>
    <w:lvl w:ilvl="3">
      <w:start w:val="1"/>
      <w:numFmt w:val="lowerRoman"/>
      <w:pStyle w:val="Heading4"/>
      <w:lvlText w:val="(%4)"/>
      <w:lvlJc w:val="left"/>
      <w:pPr>
        <w:tabs>
          <w:tab w:val="num" w:pos="2880"/>
        </w:tabs>
        <w:ind w:left="2880" w:hanging="720"/>
      </w:pPr>
      <w:rPr>
        <w:rFonts w:hint="default"/>
      </w:rPr>
    </w:lvl>
    <w:lvl w:ilvl="4">
      <w:start w:val="1"/>
      <w:numFmt w:val="decimal"/>
      <w:lvlText w:val="%1.%2.%3.%4.%5"/>
      <w:lvlJc w:val="left"/>
      <w:pPr>
        <w:tabs>
          <w:tab w:val="num" w:pos="1740"/>
        </w:tabs>
        <w:ind w:left="1740" w:hanging="1008"/>
      </w:pPr>
      <w:rPr>
        <w:rFonts w:hint="default"/>
      </w:rPr>
    </w:lvl>
    <w:lvl w:ilvl="5">
      <w:start w:val="1"/>
      <w:numFmt w:val="decimal"/>
      <w:lvlText w:val="%1.%2.%3.%4.%5.%6"/>
      <w:lvlJc w:val="left"/>
      <w:pPr>
        <w:tabs>
          <w:tab w:val="num" w:pos="1884"/>
        </w:tabs>
        <w:ind w:left="1884" w:hanging="1152"/>
      </w:pPr>
      <w:rPr>
        <w:rFonts w:hint="default"/>
      </w:rPr>
    </w:lvl>
    <w:lvl w:ilvl="6">
      <w:start w:val="1"/>
      <w:numFmt w:val="decimal"/>
      <w:lvlText w:val="%1.%2.%3.%4.%5.%6.%7"/>
      <w:lvlJc w:val="left"/>
      <w:pPr>
        <w:tabs>
          <w:tab w:val="num" w:pos="2028"/>
        </w:tabs>
        <w:ind w:left="2028" w:hanging="1296"/>
      </w:pPr>
      <w:rPr>
        <w:rFonts w:hint="default"/>
      </w:rPr>
    </w:lvl>
    <w:lvl w:ilvl="7">
      <w:start w:val="1"/>
      <w:numFmt w:val="decimal"/>
      <w:lvlText w:val="%1.%2.%3.%4.%5.%6.%7.%8"/>
      <w:lvlJc w:val="left"/>
      <w:pPr>
        <w:tabs>
          <w:tab w:val="num" w:pos="2172"/>
        </w:tabs>
        <w:ind w:left="2172" w:hanging="1440"/>
      </w:pPr>
      <w:rPr>
        <w:rFonts w:hint="default"/>
      </w:rPr>
    </w:lvl>
    <w:lvl w:ilvl="8">
      <w:start w:val="1"/>
      <w:numFmt w:val="decimal"/>
      <w:lvlText w:val="%1.%2.%3.%4.%5.%6.%7.%8.%9"/>
      <w:lvlJc w:val="left"/>
      <w:pPr>
        <w:tabs>
          <w:tab w:val="num" w:pos="2316"/>
        </w:tabs>
        <w:ind w:left="2316" w:hanging="1584"/>
      </w:pPr>
      <w:rPr>
        <w:rFonts w:hint="default"/>
      </w:rPr>
    </w:lvl>
  </w:abstractNum>
  <w:abstractNum w:abstractNumId="22" w15:restartNumberingAfterBreak="0">
    <w:nsid w:val="75A92A90"/>
    <w:multiLevelType w:val="hybridMultilevel"/>
    <w:tmpl w:val="040CB1F8"/>
    <w:lvl w:ilvl="0" w:tplc="04090003">
      <w:start w:val="1"/>
      <w:numFmt w:val="bullet"/>
      <w:lvlText w:val="o"/>
      <w:lvlJc w:val="left"/>
      <w:pPr>
        <w:tabs>
          <w:tab w:val="num" w:pos="1447"/>
        </w:tabs>
        <w:ind w:left="1447" w:hanging="360"/>
      </w:pPr>
      <w:rPr>
        <w:rFonts w:ascii="Courier New" w:hAnsi="Courier New" w:hint="default"/>
      </w:rPr>
    </w:lvl>
    <w:lvl w:ilvl="1" w:tplc="04090003">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3" w15:restartNumberingAfterBreak="0">
    <w:nsid w:val="771B221D"/>
    <w:multiLevelType w:val="hybridMultilevel"/>
    <w:tmpl w:val="E9644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AC62C2"/>
    <w:multiLevelType w:val="hybridMultilevel"/>
    <w:tmpl w:val="FF225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46516D"/>
    <w:multiLevelType w:val="hybridMultilevel"/>
    <w:tmpl w:val="F3B4E07C"/>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9"/>
  </w:num>
  <w:num w:numId="3">
    <w:abstractNumId w:val="12"/>
  </w:num>
  <w:num w:numId="4">
    <w:abstractNumId w:val="22"/>
  </w:num>
  <w:num w:numId="5">
    <w:abstractNumId w:val="25"/>
  </w:num>
  <w:num w:numId="6">
    <w:abstractNumId w:val="9"/>
  </w:num>
  <w:num w:numId="7">
    <w:abstractNumId w:val="10"/>
  </w:num>
  <w:num w:numId="8">
    <w:abstractNumId w:val="18"/>
  </w:num>
  <w:num w:numId="9">
    <w:abstractNumId w:val="16"/>
  </w:num>
  <w:num w:numId="10">
    <w:abstractNumId w:val="8"/>
  </w:num>
  <w:num w:numId="11">
    <w:abstractNumId w:val="2"/>
  </w:num>
  <w:num w:numId="12">
    <w:abstractNumId w:val="5"/>
  </w:num>
  <w:num w:numId="13">
    <w:abstractNumId w:val="6"/>
  </w:num>
  <w:num w:numId="14">
    <w:abstractNumId w:val="0"/>
  </w:num>
  <w:num w:numId="15">
    <w:abstractNumId w:val="14"/>
  </w:num>
  <w:num w:numId="16">
    <w:abstractNumId w:val="11"/>
  </w:num>
  <w:num w:numId="17">
    <w:abstractNumId w:val="20"/>
  </w:num>
  <w:num w:numId="18">
    <w:abstractNumId w:val="15"/>
  </w:num>
  <w:num w:numId="19">
    <w:abstractNumId w:val="13"/>
  </w:num>
  <w:num w:numId="20">
    <w:abstractNumId w:val="24"/>
  </w:num>
  <w:num w:numId="21">
    <w:abstractNumId w:val="1"/>
  </w:num>
  <w:num w:numId="22">
    <w:abstractNumId w:val="17"/>
  </w:num>
  <w:num w:numId="23">
    <w:abstractNumId w:val="3"/>
  </w:num>
  <w:num w:numId="24">
    <w:abstractNumId w:val="7"/>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13C"/>
    <w:rsid w:val="000111BC"/>
    <w:rsid w:val="00022255"/>
    <w:rsid w:val="00033F87"/>
    <w:rsid w:val="00034266"/>
    <w:rsid w:val="0004597C"/>
    <w:rsid w:val="00047E01"/>
    <w:rsid w:val="00054107"/>
    <w:rsid w:val="00074B6E"/>
    <w:rsid w:val="00083FEB"/>
    <w:rsid w:val="00084577"/>
    <w:rsid w:val="000905B1"/>
    <w:rsid w:val="00096719"/>
    <w:rsid w:val="000D1711"/>
    <w:rsid w:val="000D25B1"/>
    <w:rsid w:val="000E4776"/>
    <w:rsid w:val="000F077A"/>
    <w:rsid w:val="000F1D22"/>
    <w:rsid w:val="0012372E"/>
    <w:rsid w:val="0014513C"/>
    <w:rsid w:val="00145413"/>
    <w:rsid w:val="00155DEF"/>
    <w:rsid w:val="001629FF"/>
    <w:rsid w:val="00167FCD"/>
    <w:rsid w:val="00184337"/>
    <w:rsid w:val="00185F86"/>
    <w:rsid w:val="00186B77"/>
    <w:rsid w:val="001909F5"/>
    <w:rsid w:val="001A1327"/>
    <w:rsid w:val="001A64E0"/>
    <w:rsid w:val="001D30AE"/>
    <w:rsid w:val="001D68C6"/>
    <w:rsid w:val="001F0DF7"/>
    <w:rsid w:val="001F6F85"/>
    <w:rsid w:val="002327F9"/>
    <w:rsid w:val="0023643A"/>
    <w:rsid w:val="00252C3A"/>
    <w:rsid w:val="00253A75"/>
    <w:rsid w:val="00282933"/>
    <w:rsid w:val="0028679D"/>
    <w:rsid w:val="002B6695"/>
    <w:rsid w:val="002C592E"/>
    <w:rsid w:val="00381760"/>
    <w:rsid w:val="003B607A"/>
    <w:rsid w:val="003C3C50"/>
    <w:rsid w:val="003D45DD"/>
    <w:rsid w:val="003F6FEF"/>
    <w:rsid w:val="004210AA"/>
    <w:rsid w:val="00427C82"/>
    <w:rsid w:val="004345F4"/>
    <w:rsid w:val="00467B50"/>
    <w:rsid w:val="00473356"/>
    <w:rsid w:val="004F1F82"/>
    <w:rsid w:val="005011C9"/>
    <w:rsid w:val="00501AA0"/>
    <w:rsid w:val="0056069C"/>
    <w:rsid w:val="005E78A2"/>
    <w:rsid w:val="005E7A4A"/>
    <w:rsid w:val="005F20D3"/>
    <w:rsid w:val="0064713B"/>
    <w:rsid w:val="00647C82"/>
    <w:rsid w:val="006918D7"/>
    <w:rsid w:val="006A3BD7"/>
    <w:rsid w:val="006F1EF0"/>
    <w:rsid w:val="00702095"/>
    <w:rsid w:val="00705511"/>
    <w:rsid w:val="00713672"/>
    <w:rsid w:val="007634C9"/>
    <w:rsid w:val="007734BF"/>
    <w:rsid w:val="00776B5D"/>
    <w:rsid w:val="007770FE"/>
    <w:rsid w:val="00781978"/>
    <w:rsid w:val="007E7AA8"/>
    <w:rsid w:val="007F3BDD"/>
    <w:rsid w:val="008467ED"/>
    <w:rsid w:val="00847FE4"/>
    <w:rsid w:val="00867353"/>
    <w:rsid w:val="00885DCB"/>
    <w:rsid w:val="008B42C7"/>
    <w:rsid w:val="008C375E"/>
    <w:rsid w:val="008D0888"/>
    <w:rsid w:val="008D6442"/>
    <w:rsid w:val="008F0A43"/>
    <w:rsid w:val="00921D94"/>
    <w:rsid w:val="00923F27"/>
    <w:rsid w:val="00946018"/>
    <w:rsid w:val="00965EEC"/>
    <w:rsid w:val="00973145"/>
    <w:rsid w:val="00996809"/>
    <w:rsid w:val="009B17D6"/>
    <w:rsid w:val="009F0C8E"/>
    <w:rsid w:val="00A445C1"/>
    <w:rsid w:val="00A72979"/>
    <w:rsid w:val="00A842EB"/>
    <w:rsid w:val="00A86865"/>
    <w:rsid w:val="00AB1D3B"/>
    <w:rsid w:val="00B97695"/>
    <w:rsid w:val="00BC60EE"/>
    <w:rsid w:val="00BE09F6"/>
    <w:rsid w:val="00C15D54"/>
    <w:rsid w:val="00C246D4"/>
    <w:rsid w:val="00C91294"/>
    <w:rsid w:val="00C926D6"/>
    <w:rsid w:val="00C947F4"/>
    <w:rsid w:val="00D00EE7"/>
    <w:rsid w:val="00D0453C"/>
    <w:rsid w:val="00D13E69"/>
    <w:rsid w:val="00D15A39"/>
    <w:rsid w:val="00D37FD0"/>
    <w:rsid w:val="00D4610A"/>
    <w:rsid w:val="00D51615"/>
    <w:rsid w:val="00D90D63"/>
    <w:rsid w:val="00D951D2"/>
    <w:rsid w:val="00D95777"/>
    <w:rsid w:val="00DA665F"/>
    <w:rsid w:val="00DC4D2A"/>
    <w:rsid w:val="00E22D73"/>
    <w:rsid w:val="00E33694"/>
    <w:rsid w:val="00E37178"/>
    <w:rsid w:val="00E47AA9"/>
    <w:rsid w:val="00E52D0C"/>
    <w:rsid w:val="00E6364D"/>
    <w:rsid w:val="00E71676"/>
    <w:rsid w:val="00ED27AC"/>
    <w:rsid w:val="00EE65F4"/>
    <w:rsid w:val="00EF63D5"/>
    <w:rsid w:val="00F1521F"/>
    <w:rsid w:val="00F36B9A"/>
    <w:rsid w:val="00F42911"/>
    <w:rsid w:val="00F673E6"/>
    <w:rsid w:val="00F910C9"/>
    <w:rsid w:val="00FB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7B7D"/>
  <w15:docId w15:val="{0A02B95B-1D31-44C2-A00B-9B6B5986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978"/>
  </w:style>
  <w:style w:type="paragraph" w:styleId="Heading1">
    <w:name w:val="heading 1"/>
    <w:basedOn w:val="Normal"/>
    <w:next w:val="Heading2"/>
    <w:link w:val="Heading1Char"/>
    <w:qFormat/>
    <w:rsid w:val="00781978"/>
    <w:pPr>
      <w:keepNext/>
      <w:numPr>
        <w:numId w:val="1"/>
      </w:numPr>
      <w:spacing w:after="240"/>
      <w:jc w:val="center"/>
      <w:outlineLvl w:val="0"/>
    </w:pPr>
    <w:rPr>
      <w:rFonts w:ascii="Times New Roman" w:eastAsia="Times New Roman" w:hAnsi="Times New Roman"/>
      <w:bCs/>
      <w:kern w:val="20"/>
      <w:szCs w:val="32"/>
      <w:lang w:eastAsia="en-US" w:bidi="ar-SA"/>
    </w:rPr>
  </w:style>
  <w:style w:type="paragraph" w:styleId="Heading2">
    <w:name w:val="heading 2"/>
    <w:basedOn w:val="Normal"/>
    <w:link w:val="Heading2Char"/>
    <w:qFormat/>
    <w:rsid w:val="00781978"/>
    <w:pPr>
      <w:numPr>
        <w:ilvl w:val="1"/>
        <w:numId w:val="1"/>
      </w:numPr>
      <w:spacing w:after="240"/>
      <w:jc w:val="both"/>
      <w:outlineLvl w:val="1"/>
    </w:pPr>
    <w:rPr>
      <w:rFonts w:ascii="Times New Roman" w:eastAsia="Times New Roman" w:hAnsi="Times New Roman"/>
      <w:kern w:val="20"/>
      <w:szCs w:val="28"/>
      <w:lang w:eastAsia="en-US" w:bidi="ar-SA"/>
    </w:rPr>
  </w:style>
  <w:style w:type="paragraph" w:styleId="Heading3">
    <w:name w:val="heading 3"/>
    <w:basedOn w:val="Normal"/>
    <w:link w:val="Heading3Char"/>
    <w:qFormat/>
    <w:rsid w:val="00781978"/>
    <w:pPr>
      <w:numPr>
        <w:ilvl w:val="2"/>
        <w:numId w:val="1"/>
      </w:numPr>
      <w:spacing w:after="240"/>
      <w:jc w:val="both"/>
      <w:outlineLvl w:val="2"/>
    </w:pPr>
    <w:rPr>
      <w:rFonts w:ascii="Times New Roman" w:eastAsia="Times New Roman" w:hAnsi="Times New Roman"/>
      <w:bCs/>
      <w:kern w:val="20"/>
      <w:szCs w:val="26"/>
      <w:lang w:eastAsia="en-US" w:bidi="ar-SA"/>
    </w:rPr>
  </w:style>
  <w:style w:type="paragraph" w:styleId="Heading4">
    <w:name w:val="heading 4"/>
    <w:basedOn w:val="Normal"/>
    <w:link w:val="Heading4Char"/>
    <w:qFormat/>
    <w:rsid w:val="00781978"/>
    <w:pPr>
      <w:numPr>
        <w:ilvl w:val="3"/>
        <w:numId w:val="1"/>
      </w:numPr>
      <w:spacing w:after="240"/>
      <w:jc w:val="both"/>
      <w:outlineLvl w:val="3"/>
    </w:pPr>
    <w:rPr>
      <w:rFonts w:ascii="Times New Roman" w:eastAsia="Times New Roman" w:hAnsi="Times New Roman" w:cs="Times New Roman"/>
      <w:bCs/>
      <w:kern w:val="20"/>
      <w:szCs w:val="28"/>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rsid w:val="00781978"/>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nhideWhenUsed/>
    <w:rsid w:val="00781978"/>
    <w:pPr>
      <w:tabs>
        <w:tab w:val="center" w:pos="4680"/>
        <w:tab w:val="right" w:pos="9360"/>
      </w:tabs>
    </w:pPr>
    <w:rPr>
      <w:rFonts w:cs="Mangal"/>
      <w:szCs w:val="21"/>
    </w:rPr>
  </w:style>
  <w:style w:type="character" w:customStyle="1" w:styleId="HeaderChar">
    <w:name w:val="Header Char"/>
    <w:basedOn w:val="DefaultParagraphFont"/>
    <w:link w:val="Header"/>
    <w:rsid w:val="00705511"/>
    <w:rPr>
      <w:rFonts w:cs="Mangal"/>
      <w:szCs w:val="21"/>
    </w:rPr>
  </w:style>
  <w:style w:type="paragraph" w:styleId="Footer">
    <w:name w:val="footer"/>
    <w:basedOn w:val="Normal"/>
    <w:link w:val="FooterChar"/>
    <w:unhideWhenUsed/>
    <w:rsid w:val="00781978"/>
    <w:pPr>
      <w:tabs>
        <w:tab w:val="center" w:pos="4680"/>
        <w:tab w:val="right" w:pos="9360"/>
      </w:tabs>
    </w:pPr>
    <w:rPr>
      <w:rFonts w:cs="Mangal"/>
      <w:szCs w:val="21"/>
    </w:rPr>
  </w:style>
  <w:style w:type="character" w:customStyle="1" w:styleId="FooterChar">
    <w:name w:val="Footer Char"/>
    <w:basedOn w:val="DefaultParagraphFont"/>
    <w:link w:val="Footer"/>
    <w:rsid w:val="00705511"/>
    <w:rPr>
      <w:rFonts w:cs="Mangal"/>
      <w:szCs w:val="21"/>
    </w:rPr>
  </w:style>
  <w:style w:type="character" w:customStyle="1" w:styleId="Heading1Char">
    <w:name w:val="Heading 1 Char"/>
    <w:basedOn w:val="DefaultParagraphFont"/>
    <w:link w:val="Heading1"/>
    <w:rsid w:val="00781978"/>
    <w:rPr>
      <w:rFonts w:ascii="Times New Roman" w:eastAsia="Times New Roman" w:hAnsi="Times New Roman"/>
      <w:bCs/>
      <w:kern w:val="20"/>
      <w:szCs w:val="32"/>
      <w:lang w:eastAsia="en-US" w:bidi="ar-SA"/>
    </w:rPr>
  </w:style>
  <w:style w:type="character" w:customStyle="1" w:styleId="Heading2Char">
    <w:name w:val="Heading 2 Char"/>
    <w:basedOn w:val="DefaultParagraphFont"/>
    <w:link w:val="Heading2"/>
    <w:rsid w:val="00781978"/>
    <w:rPr>
      <w:rFonts w:ascii="Times New Roman" w:eastAsia="Times New Roman" w:hAnsi="Times New Roman"/>
      <w:kern w:val="20"/>
      <w:szCs w:val="28"/>
      <w:lang w:eastAsia="en-US" w:bidi="ar-SA"/>
    </w:rPr>
  </w:style>
  <w:style w:type="character" w:customStyle="1" w:styleId="Heading3Char">
    <w:name w:val="Heading 3 Char"/>
    <w:basedOn w:val="DefaultParagraphFont"/>
    <w:link w:val="Heading3"/>
    <w:rsid w:val="00781978"/>
    <w:rPr>
      <w:rFonts w:ascii="Times New Roman" w:eastAsia="Times New Roman" w:hAnsi="Times New Roman"/>
      <w:bCs/>
      <w:kern w:val="20"/>
      <w:szCs w:val="26"/>
      <w:lang w:eastAsia="en-US" w:bidi="ar-SA"/>
    </w:rPr>
  </w:style>
  <w:style w:type="character" w:customStyle="1" w:styleId="Heading4Char">
    <w:name w:val="Heading 4 Char"/>
    <w:basedOn w:val="DefaultParagraphFont"/>
    <w:link w:val="Heading4"/>
    <w:rsid w:val="00781978"/>
    <w:rPr>
      <w:rFonts w:ascii="Times New Roman" w:eastAsia="Times New Roman" w:hAnsi="Times New Roman" w:cs="Times New Roman"/>
      <w:bCs/>
      <w:kern w:val="20"/>
      <w:szCs w:val="28"/>
      <w:lang w:eastAsia="en-US" w:bidi="ar-SA"/>
    </w:rPr>
  </w:style>
  <w:style w:type="paragraph" w:customStyle="1" w:styleId="Numbers">
    <w:name w:val="Numbers"/>
    <w:basedOn w:val="Normal"/>
    <w:rsid w:val="00781978"/>
    <w:pPr>
      <w:numPr>
        <w:numId w:val="2"/>
      </w:numPr>
      <w:spacing w:after="240"/>
    </w:pPr>
    <w:rPr>
      <w:rFonts w:ascii="Times New Roman" w:eastAsia="Times New Roman" w:hAnsi="Times New Roman" w:cs="Times New Roman"/>
      <w:kern w:val="0"/>
      <w:szCs w:val="20"/>
      <w:lang w:eastAsia="en-US" w:bidi="ar-SA"/>
    </w:rPr>
  </w:style>
  <w:style w:type="paragraph" w:customStyle="1" w:styleId="Paragraph">
    <w:name w:val="Paragraph"/>
    <w:basedOn w:val="Normal"/>
    <w:rsid w:val="00781978"/>
    <w:pPr>
      <w:overflowPunct w:val="0"/>
      <w:autoSpaceDE w:val="0"/>
      <w:autoSpaceDN w:val="0"/>
      <w:adjustRightInd w:val="0"/>
      <w:spacing w:after="240"/>
      <w:ind w:firstLine="720"/>
      <w:jc w:val="both"/>
      <w:textAlignment w:val="baseline"/>
    </w:pPr>
    <w:rPr>
      <w:rFonts w:ascii="Times New Roman" w:eastAsia="Times New Roman" w:hAnsi="Times New Roman" w:cs="Times New Roman"/>
      <w:kern w:val="0"/>
      <w:szCs w:val="20"/>
      <w:lang w:eastAsia="en-US" w:bidi="ar-SA"/>
    </w:rPr>
  </w:style>
  <w:style w:type="paragraph" w:styleId="TableofAuthorities">
    <w:name w:val="table of authorities"/>
    <w:basedOn w:val="Normal"/>
    <w:next w:val="Normal"/>
    <w:semiHidden/>
    <w:rsid w:val="00781978"/>
    <w:pPr>
      <w:ind w:left="240" w:hanging="240"/>
    </w:pPr>
    <w:rPr>
      <w:rFonts w:ascii="Times New Roman" w:eastAsia="Times New Roman" w:hAnsi="Times New Roman" w:cs="Times New Roman"/>
      <w:kern w:val="0"/>
      <w:szCs w:val="20"/>
      <w:lang w:eastAsia="en-US" w:bidi="ar-SA"/>
    </w:rPr>
  </w:style>
  <w:style w:type="paragraph" w:styleId="TOAHeading">
    <w:name w:val="toa heading"/>
    <w:basedOn w:val="Normal"/>
    <w:next w:val="Normal"/>
    <w:semiHidden/>
    <w:rsid w:val="00781978"/>
    <w:pPr>
      <w:spacing w:before="120"/>
    </w:pPr>
    <w:rPr>
      <w:rFonts w:ascii="Arial" w:eastAsia="Times New Roman" w:hAnsi="Arial"/>
      <w:b/>
      <w:bCs/>
      <w:kern w:val="0"/>
      <w:szCs w:val="20"/>
      <w:lang w:eastAsia="en-US" w:bidi="ar-SA"/>
    </w:rPr>
  </w:style>
  <w:style w:type="paragraph" w:styleId="TOC1">
    <w:name w:val="toc 1"/>
    <w:basedOn w:val="Normal"/>
    <w:next w:val="Normal"/>
    <w:autoRedefine/>
    <w:semiHidden/>
    <w:rsid w:val="00781978"/>
    <w:rPr>
      <w:rFonts w:ascii="Times New Roman" w:eastAsia="Times New Roman" w:hAnsi="Times New Roman" w:cs="Times New Roman"/>
      <w:b/>
      <w:kern w:val="0"/>
      <w:lang w:eastAsia="en-US" w:bidi="ar-SA"/>
    </w:rPr>
  </w:style>
  <w:style w:type="paragraph" w:styleId="TOC2">
    <w:name w:val="toc 2"/>
    <w:basedOn w:val="Normal"/>
    <w:next w:val="Normal"/>
    <w:autoRedefine/>
    <w:semiHidden/>
    <w:rsid w:val="00781978"/>
    <w:pPr>
      <w:ind w:left="240"/>
    </w:pPr>
    <w:rPr>
      <w:rFonts w:ascii="Times New Roman" w:eastAsia="Times New Roman" w:hAnsi="Times New Roman" w:cs="Times New Roman"/>
      <w:kern w:val="0"/>
      <w:szCs w:val="20"/>
      <w:lang w:eastAsia="en-US" w:bidi="ar-SA"/>
    </w:rPr>
  </w:style>
  <w:style w:type="paragraph" w:styleId="TOC3">
    <w:name w:val="toc 3"/>
    <w:basedOn w:val="Normal"/>
    <w:next w:val="Normal"/>
    <w:autoRedefine/>
    <w:semiHidden/>
    <w:rsid w:val="00781978"/>
    <w:pPr>
      <w:ind w:left="480"/>
    </w:pPr>
    <w:rPr>
      <w:rFonts w:ascii="Times New Roman" w:eastAsia="Times New Roman" w:hAnsi="Times New Roman" w:cs="Times New Roman"/>
      <w:kern w:val="0"/>
      <w:szCs w:val="20"/>
      <w:lang w:eastAsia="en-US" w:bidi="ar-SA"/>
    </w:rPr>
  </w:style>
  <w:style w:type="paragraph" w:styleId="TOC4">
    <w:name w:val="toc 4"/>
    <w:basedOn w:val="Normal"/>
    <w:next w:val="Normal"/>
    <w:autoRedefine/>
    <w:semiHidden/>
    <w:rsid w:val="00781978"/>
    <w:pPr>
      <w:ind w:left="720"/>
    </w:pPr>
    <w:rPr>
      <w:rFonts w:ascii="Times New Roman" w:eastAsia="Times New Roman" w:hAnsi="Times New Roman" w:cs="Times New Roman"/>
      <w:kern w:val="0"/>
      <w:szCs w:val="20"/>
      <w:lang w:eastAsia="en-US" w:bidi="ar-SA"/>
    </w:rPr>
  </w:style>
  <w:style w:type="paragraph" w:styleId="TOC5">
    <w:name w:val="toc 5"/>
    <w:basedOn w:val="Normal"/>
    <w:next w:val="Normal"/>
    <w:autoRedefine/>
    <w:semiHidden/>
    <w:rsid w:val="00781978"/>
    <w:pPr>
      <w:ind w:left="960"/>
    </w:pPr>
    <w:rPr>
      <w:rFonts w:ascii="Times New Roman" w:eastAsia="Times New Roman" w:hAnsi="Times New Roman" w:cs="Times New Roman"/>
      <w:kern w:val="0"/>
      <w:szCs w:val="20"/>
      <w:lang w:eastAsia="en-US" w:bidi="ar-SA"/>
    </w:rPr>
  </w:style>
  <w:style w:type="paragraph" w:styleId="TOC6">
    <w:name w:val="toc 6"/>
    <w:basedOn w:val="Normal"/>
    <w:next w:val="Normal"/>
    <w:autoRedefine/>
    <w:semiHidden/>
    <w:rsid w:val="00781978"/>
    <w:pPr>
      <w:ind w:left="1200"/>
    </w:pPr>
    <w:rPr>
      <w:rFonts w:ascii="Times New Roman" w:eastAsia="Times New Roman" w:hAnsi="Times New Roman" w:cs="Times New Roman"/>
      <w:kern w:val="0"/>
      <w:szCs w:val="20"/>
      <w:lang w:eastAsia="en-US" w:bidi="ar-SA"/>
    </w:rPr>
  </w:style>
  <w:style w:type="character" w:styleId="FootnoteReference">
    <w:name w:val="footnote reference"/>
    <w:semiHidden/>
    <w:rsid w:val="00781978"/>
    <w:rPr>
      <w:vertAlign w:val="superscript"/>
    </w:rPr>
  </w:style>
  <w:style w:type="paragraph" w:styleId="FootnoteText">
    <w:name w:val="footnote text"/>
    <w:basedOn w:val="Normal"/>
    <w:link w:val="FootnoteTextChar"/>
    <w:semiHidden/>
    <w:rsid w:val="00781978"/>
    <w:rPr>
      <w:rFonts w:ascii="Times New Roman" w:eastAsia="Times New Roman" w:hAnsi="Times New Roman" w:cs="Times New Roman"/>
      <w:kern w:val="0"/>
      <w:sz w:val="20"/>
      <w:szCs w:val="20"/>
      <w:lang w:eastAsia="en-US" w:bidi="ar-SA"/>
    </w:rPr>
  </w:style>
  <w:style w:type="character" w:customStyle="1" w:styleId="FootnoteTextChar">
    <w:name w:val="Footnote Text Char"/>
    <w:basedOn w:val="DefaultParagraphFont"/>
    <w:link w:val="FootnoteText"/>
    <w:semiHidden/>
    <w:rsid w:val="00781978"/>
    <w:rPr>
      <w:rFonts w:ascii="Times New Roman" w:eastAsia="Times New Roman" w:hAnsi="Times New Roman" w:cs="Times New Roman"/>
      <w:kern w:val="0"/>
      <w:sz w:val="20"/>
      <w:szCs w:val="20"/>
      <w:lang w:eastAsia="en-US" w:bidi="ar-SA"/>
    </w:rPr>
  </w:style>
  <w:style w:type="paragraph" w:styleId="Title">
    <w:name w:val="Title"/>
    <w:basedOn w:val="Normal"/>
    <w:link w:val="TitleChar"/>
    <w:qFormat/>
    <w:rsid w:val="00781978"/>
    <w:pPr>
      <w:spacing w:before="240" w:after="60"/>
      <w:jc w:val="center"/>
      <w:outlineLvl w:val="0"/>
    </w:pPr>
    <w:rPr>
      <w:rFonts w:ascii="Arial" w:eastAsia="Times New Roman" w:hAnsi="Arial"/>
      <w:b/>
      <w:bCs/>
      <w:kern w:val="28"/>
      <w:sz w:val="32"/>
      <w:szCs w:val="32"/>
      <w:lang w:eastAsia="en-US" w:bidi="ar-SA"/>
    </w:rPr>
  </w:style>
  <w:style w:type="character" w:customStyle="1" w:styleId="TitleChar">
    <w:name w:val="Title Char"/>
    <w:basedOn w:val="DefaultParagraphFont"/>
    <w:link w:val="Title"/>
    <w:rsid w:val="00781978"/>
    <w:rPr>
      <w:rFonts w:ascii="Arial" w:eastAsia="Times New Roman" w:hAnsi="Arial"/>
      <w:b/>
      <w:bCs/>
      <w:kern w:val="28"/>
      <w:sz w:val="32"/>
      <w:szCs w:val="32"/>
      <w:lang w:eastAsia="en-US" w:bidi="ar-SA"/>
    </w:rPr>
  </w:style>
  <w:style w:type="paragraph" w:styleId="Subtitle">
    <w:name w:val="Subtitle"/>
    <w:basedOn w:val="Normal"/>
    <w:link w:val="SubtitleChar"/>
    <w:qFormat/>
    <w:rsid w:val="00781978"/>
    <w:pPr>
      <w:spacing w:after="240"/>
      <w:outlineLvl w:val="1"/>
    </w:pPr>
    <w:rPr>
      <w:rFonts w:ascii="Arial" w:eastAsia="Times New Roman" w:hAnsi="Arial"/>
      <w:b/>
      <w:kern w:val="0"/>
      <w:szCs w:val="20"/>
      <w:lang w:eastAsia="en-US" w:bidi="ar-SA"/>
    </w:rPr>
  </w:style>
  <w:style w:type="character" w:customStyle="1" w:styleId="SubtitleChar">
    <w:name w:val="Subtitle Char"/>
    <w:basedOn w:val="DefaultParagraphFont"/>
    <w:link w:val="Subtitle"/>
    <w:rsid w:val="00781978"/>
    <w:rPr>
      <w:rFonts w:ascii="Arial" w:eastAsia="Times New Roman" w:hAnsi="Arial"/>
      <w:b/>
      <w:kern w:val="0"/>
      <w:szCs w:val="20"/>
      <w:lang w:eastAsia="en-US" w:bidi="ar-SA"/>
    </w:rPr>
  </w:style>
  <w:style w:type="character" w:styleId="PageNumber">
    <w:name w:val="page number"/>
    <w:basedOn w:val="DefaultParagraphFont"/>
    <w:rsid w:val="00781978"/>
  </w:style>
  <w:style w:type="paragraph" w:styleId="BodyTextIndent">
    <w:name w:val="Body Text Indent"/>
    <w:basedOn w:val="Normal"/>
    <w:link w:val="BodyTextIndentChar"/>
    <w:rsid w:val="00781978"/>
    <w:pPr>
      <w:ind w:firstLine="720"/>
    </w:pPr>
    <w:rPr>
      <w:rFonts w:ascii="Times New Roman" w:eastAsia="Times New Roman" w:hAnsi="Times New Roman" w:cs="Times New Roman"/>
      <w:kern w:val="0"/>
      <w:szCs w:val="20"/>
      <w:lang w:eastAsia="en-US" w:bidi="ar-SA"/>
    </w:rPr>
  </w:style>
  <w:style w:type="character" w:customStyle="1" w:styleId="BodyTextIndentChar">
    <w:name w:val="Body Text Indent Char"/>
    <w:basedOn w:val="DefaultParagraphFont"/>
    <w:link w:val="BodyTextIndent"/>
    <w:rsid w:val="00781978"/>
    <w:rPr>
      <w:rFonts w:ascii="Times New Roman" w:eastAsia="Times New Roman" w:hAnsi="Times New Roman" w:cs="Times New Roman"/>
      <w:kern w:val="0"/>
      <w:szCs w:val="20"/>
      <w:lang w:eastAsia="en-US" w:bidi="ar-SA"/>
    </w:rPr>
  </w:style>
  <w:style w:type="paragraph" w:styleId="BodyText2">
    <w:name w:val="Body Text 2"/>
    <w:basedOn w:val="Normal"/>
    <w:link w:val="BodyText2Char"/>
    <w:rsid w:val="00781978"/>
    <w:pPr>
      <w:spacing w:after="120" w:line="480" w:lineRule="auto"/>
    </w:pPr>
    <w:rPr>
      <w:rFonts w:ascii="Times New Roman" w:eastAsia="Times New Roman" w:hAnsi="Times New Roman" w:cs="Times New Roman"/>
      <w:kern w:val="0"/>
      <w:szCs w:val="20"/>
      <w:lang w:eastAsia="en-US" w:bidi="ar-SA"/>
    </w:rPr>
  </w:style>
  <w:style w:type="character" w:customStyle="1" w:styleId="BodyText2Char">
    <w:name w:val="Body Text 2 Char"/>
    <w:basedOn w:val="DefaultParagraphFont"/>
    <w:link w:val="BodyText2"/>
    <w:rsid w:val="00781978"/>
    <w:rPr>
      <w:rFonts w:ascii="Times New Roman" w:eastAsia="Times New Roman" w:hAnsi="Times New Roman" w:cs="Times New Roman"/>
      <w:kern w:val="0"/>
      <w:szCs w:val="20"/>
      <w:lang w:eastAsia="en-US" w:bidi="ar-SA"/>
    </w:rPr>
  </w:style>
  <w:style w:type="paragraph" w:styleId="EnvelopeReturn">
    <w:name w:val="envelope return"/>
    <w:basedOn w:val="Normal"/>
    <w:rsid w:val="00781978"/>
    <w:rPr>
      <w:rFonts w:ascii="Times New Roman" w:eastAsia="Times New Roman" w:hAnsi="Times New Roman" w:cs="Times New Roman"/>
      <w:kern w:val="0"/>
      <w:szCs w:val="20"/>
      <w:lang w:eastAsia="en-US" w:bidi="ar-SA"/>
    </w:rPr>
  </w:style>
  <w:style w:type="character" w:styleId="Strong">
    <w:name w:val="Strong"/>
    <w:qFormat/>
    <w:rsid w:val="00781978"/>
    <w:rPr>
      <w:b/>
      <w:bCs/>
    </w:rPr>
  </w:style>
  <w:style w:type="character" w:styleId="Hyperlink">
    <w:name w:val="Hyperlink"/>
    <w:rsid w:val="00781978"/>
    <w:rPr>
      <w:color w:val="0000FF"/>
      <w:u w:val="single"/>
    </w:rPr>
  </w:style>
  <w:style w:type="paragraph" w:styleId="BalloonText">
    <w:name w:val="Balloon Text"/>
    <w:basedOn w:val="Normal"/>
    <w:link w:val="BalloonTextChar"/>
    <w:semiHidden/>
    <w:rsid w:val="00781978"/>
    <w:rPr>
      <w:rFonts w:ascii="Tahoma" w:eastAsia="Times New Roman" w:hAnsi="Tahoma" w:cs="Tahoma"/>
      <w:kern w:val="0"/>
      <w:sz w:val="16"/>
      <w:szCs w:val="16"/>
      <w:lang w:eastAsia="en-US" w:bidi="ar-SA"/>
    </w:rPr>
  </w:style>
  <w:style w:type="character" w:customStyle="1" w:styleId="BalloonTextChar">
    <w:name w:val="Balloon Text Char"/>
    <w:basedOn w:val="DefaultParagraphFont"/>
    <w:link w:val="BalloonText"/>
    <w:semiHidden/>
    <w:rsid w:val="00781978"/>
    <w:rPr>
      <w:rFonts w:ascii="Tahoma" w:eastAsia="Times New Roman" w:hAnsi="Tahoma" w:cs="Tahoma"/>
      <w:kern w:val="0"/>
      <w:sz w:val="16"/>
      <w:szCs w:val="16"/>
      <w:lang w:eastAsia="en-US" w:bidi="ar-SA"/>
    </w:rPr>
  </w:style>
  <w:style w:type="paragraph" w:styleId="Revision">
    <w:name w:val="Revision"/>
    <w:hidden/>
    <w:uiPriority w:val="99"/>
    <w:semiHidden/>
    <w:rsid w:val="00781978"/>
    <w:rPr>
      <w:rFonts w:cs="Mangal"/>
      <w:szCs w:val="21"/>
    </w:rPr>
  </w:style>
  <w:style w:type="paragraph" w:styleId="ListParagraph">
    <w:name w:val="List Paragraph"/>
    <w:basedOn w:val="Normal"/>
    <w:uiPriority w:val="34"/>
    <w:qFormat/>
    <w:rsid w:val="00B97695"/>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1019</Words>
  <Characters>5809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Marchese</dc:creator>
  <cp:lastModifiedBy>Nancy K. Mischel</cp:lastModifiedBy>
  <cp:revision>2</cp:revision>
  <cp:lastPrinted>2020-02-19T21:13:00Z</cp:lastPrinted>
  <dcterms:created xsi:type="dcterms:W3CDTF">2020-03-05T17:55:00Z</dcterms:created>
  <dcterms:modified xsi:type="dcterms:W3CDTF">2020-03-05T17:55:00Z</dcterms:modified>
  <dc:language>en-US</dc:language>
</cp:coreProperties>
</file>